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A6162" w14:textId="77777777" w:rsidR="00E9400B" w:rsidRPr="007B4CB5" w:rsidRDefault="007B4CB5" w:rsidP="00E9400B">
      <w:pPr>
        <w:ind w:firstLine="5529"/>
        <w:contextualSpacing/>
        <w:jc w:val="right"/>
        <w:rPr>
          <w:rFonts w:asciiTheme="minorHAnsi" w:hAnsiTheme="minorHAnsi" w:cs="Times New Roman"/>
          <w:b/>
          <w:sz w:val="20"/>
          <w:szCs w:val="20"/>
        </w:rPr>
      </w:pPr>
      <w:r>
        <w:rPr>
          <w:rFonts w:asciiTheme="minorHAnsi" w:hAnsiTheme="minorHAnsi" w:cs="Times New Roman"/>
          <w:b/>
          <w:sz w:val="20"/>
          <w:szCs w:val="20"/>
        </w:rPr>
        <w:t>«</w:t>
      </w:r>
      <w:r w:rsidR="00E9400B" w:rsidRPr="007B4CB5">
        <w:rPr>
          <w:rFonts w:asciiTheme="minorHAnsi" w:hAnsiTheme="minorHAnsi" w:cs="Times New Roman"/>
          <w:b/>
          <w:sz w:val="20"/>
          <w:szCs w:val="20"/>
        </w:rPr>
        <w:t>ЗАТВЕРДЖЕНО»</w:t>
      </w:r>
    </w:p>
    <w:p w14:paraId="42D6C7A4" w14:textId="77777777" w:rsidR="00E9400B" w:rsidRPr="007B4CB5" w:rsidRDefault="00E9400B" w:rsidP="00E9400B">
      <w:pPr>
        <w:ind w:firstLine="5529"/>
        <w:contextualSpacing/>
        <w:jc w:val="right"/>
        <w:rPr>
          <w:rFonts w:asciiTheme="minorHAnsi" w:hAnsiTheme="minorHAnsi" w:cs="Times New Roman"/>
          <w:b/>
          <w:sz w:val="20"/>
          <w:szCs w:val="20"/>
        </w:rPr>
      </w:pPr>
      <w:r w:rsidRPr="007B4CB5">
        <w:rPr>
          <w:rFonts w:asciiTheme="minorHAnsi" w:hAnsiTheme="minorHAnsi" w:cs="Times New Roman"/>
          <w:b/>
          <w:sz w:val="20"/>
          <w:szCs w:val="20"/>
        </w:rPr>
        <w:t>Загальними Зборами Засновників (Учасників)</w:t>
      </w:r>
    </w:p>
    <w:p w14:paraId="44B5ACA7" w14:textId="24926529" w:rsidR="00E9400B" w:rsidRPr="007B4CB5" w:rsidRDefault="00E9400B" w:rsidP="00E9400B">
      <w:pPr>
        <w:ind w:firstLine="5529"/>
        <w:contextualSpacing/>
        <w:jc w:val="right"/>
        <w:rPr>
          <w:rFonts w:asciiTheme="minorHAnsi" w:hAnsiTheme="minorHAnsi" w:cs="Times New Roman"/>
          <w:b/>
          <w:sz w:val="20"/>
          <w:szCs w:val="20"/>
        </w:rPr>
      </w:pPr>
      <w:r w:rsidRPr="007B4CB5">
        <w:rPr>
          <w:rFonts w:asciiTheme="minorHAnsi" w:hAnsiTheme="minorHAnsi" w:cs="Times New Roman"/>
          <w:b/>
          <w:sz w:val="20"/>
          <w:szCs w:val="20"/>
        </w:rPr>
        <w:t xml:space="preserve">ТОВ </w:t>
      </w:r>
      <w:r w:rsidR="000D3FAE" w:rsidRPr="000D3FAE">
        <w:rPr>
          <w:rFonts w:asciiTheme="minorHAnsi" w:hAnsiTheme="minorHAnsi" w:cs="Times New Roman"/>
          <w:b/>
          <w:sz w:val="20"/>
          <w:szCs w:val="20"/>
          <w:lang w:val="ru-RU"/>
        </w:rPr>
        <w:t>"</w:t>
      </w:r>
      <w:r w:rsidR="00BC7983" w:rsidRPr="00BC7983">
        <w:rPr>
          <w:rFonts w:asciiTheme="minorHAnsi" w:hAnsiTheme="minorHAnsi" w:cs="Times New Roman"/>
          <w:b/>
          <w:sz w:val="20"/>
          <w:szCs w:val="20"/>
        </w:rPr>
        <w:t>ПАРИТЕТ ФІНАНС</w:t>
      </w:r>
      <w:r w:rsidR="000D3FAE" w:rsidRPr="000D3FAE">
        <w:rPr>
          <w:rFonts w:asciiTheme="minorHAnsi" w:hAnsiTheme="minorHAnsi" w:cs="Times New Roman"/>
          <w:b/>
          <w:sz w:val="20"/>
          <w:szCs w:val="20"/>
          <w:lang w:val="ru-RU"/>
        </w:rPr>
        <w:t>"</w:t>
      </w:r>
    </w:p>
    <w:p w14:paraId="7F4F670C" w14:textId="7C3B09E0" w:rsidR="00E9400B" w:rsidRPr="00B4230A" w:rsidRDefault="00B4230A" w:rsidP="00E9400B">
      <w:pPr>
        <w:ind w:firstLine="5529"/>
        <w:contextualSpacing/>
        <w:jc w:val="right"/>
        <w:rPr>
          <w:rFonts w:asciiTheme="minorHAnsi" w:hAnsiTheme="minorHAnsi" w:cs="Times New Roman"/>
          <w:b/>
          <w:sz w:val="20"/>
          <w:szCs w:val="20"/>
          <w:lang w:val="ru-RU"/>
        </w:rPr>
      </w:pPr>
      <w:r w:rsidRPr="00B4230A">
        <w:rPr>
          <w:rFonts w:asciiTheme="minorHAnsi" w:hAnsiTheme="minorHAnsi" w:cs="Times New Roman"/>
          <w:b/>
          <w:sz w:val="20"/>
          <w:szCs w:val="20"/>
        </w:rPr>
        <w:t xml:space="preserve">Протоколом № 2 від </w:t>
      </w:r>
      <w:r w:rsidR="00D17EE0" w:rsidRPr="00D17EE0">
        <w:rPr>
          <w:rFonts w:asciiTheme="minorHAnsi" w:hAnsiTheme="minorHAnsi" w:cs="Times New Roman"/>
          <w:b/>
          <w:sz w:val="20"/>
          <w:szCs w:val="20"/>
        </w:rPr>
        <w:t>20 червня 2017 року</w:t>
      </w:r>
    </w:p>
    <w:p w14:paraId="24313DDC" w14:textId="6412ACD8" w:rsidR="00E9400B" w:rsidRPr="00BC7983" w:rsidRDefault="00BC7983" w:rsidP="00E9400B">
      <w:pPr>
        <w:ind w:firstLine="5529"/>
        <w:contextualSpacing/>
        <w:jc w:val="right"/>
        <w:rPr>
          <w:rFonts w:asciiTheme="minorHAnsi" w:hAnsiTheme="minorHAnsi" w:cs="Times New Roman"/>
          <w:b/>
          <w:sz w:val="20"/>
          <w:szCs w:val="20"/>
        </w:rPr>
      </w:pPr>
      <w:r>
        <w:rPr>
          <w:rFonts w:asciiTheme="minorHAnsi" w:hAnsiTheme="minorHAnsi" w:cs="Times New Roman"/>
          <w:b/>
          <w:sz w:val="20"/>
          <w:szCs w:val="20"/>
        </w:rPr>
        <w:t>Директор</w:t>
      </w:r>
    </w:p>
    <w:p w14:paraId="101ED633" w14:textId="77777777" w:rsidR="00E9400B" w:rsidRPr="007B4CB5" w:rsidRDefault="00E9400B" w:rsidP="00E9400B">
      <w:pPr>
        <w:ind w:firstLine="5529"/>
        <w:contextualSpacing/>
        <w:jc w:val="right"/>
        <w:rPr>
          <w:rFonts w:asciiTheme="minorHAnsi" w:hAnsiTheme="minorHAnsi" w:cs="Times New Roman"/>
          <w:b/>
          <w:sz w:val="20"/>
          <w:szCs w:val="20"/>
        </w:rPr>
      </w:pPr>
    </w:p>
    <w:p w14:paraId="0A0C1BA0" w14:textId="77777777" w:rsidR="00E9400B" w:rsidRPr="007B4CB5" w:rsidRDefault="00E9400B" w:rsidP="00E9400B">
      <w:pPr>
        <w:ind w:firstLine="5529"/>
        <w:contextualSpacing/>
        <w:jc w:val="right"/>
        <w:rPr>
          <w:rFonts w:asciiTheme="minorHAnsi" w:hAnsiTheme="minorHAnsi" w:cs="Times New Roman"/>
          <w:b/>
          <w:sz w:val="20"/>
          <w:szCs w:val="20"/>
        </w:rPr>
      </w:pPr>
      <w:r w:rsidRPr="007B4CB5">
        <w:rPr>
          <w:rFonts w:asciiTheme="minorHAnsi" w:hAnsiTheme="minorHAnsi" w:cs="Times New Roman"/>
          <w:b/>
          <w:sz w:val="20"/>
          <w:szCs w:val="20"/>
        </w:rPr>
        <w:t xml:space="preserve">___________________ </w:t>
      </w:r>
    </w:p>
    <w:p w14:paraId="0D8C8C57" w14:textId="77777777" w:rsidR="00E9400B" w:rsidRPr="00E9400B" w:rsidRDefault="00E9400B" w:rsidP="00E9400B">
      <w:pPr>
        <w:ind w:firstLine="5529"/>
        <w:contextualSpacing/>
        <w:rPr>
          <w:rFonts w:asciiTheme="minorHAnsi" w:hAnsiTheme="minorHAnsi" w:cs="Times New Roman"/>
          <w:i/>
          <w:sz w:val="20"/>
          <w:szCs w:val="20"/>
        </w:rPr>
      </w:pPr>
    </w:p>
    <w:p w14:paraId="63F09675" w14:textId="77777777" w:rsidR="00E9400B" w:rsidRPr="00E9400B" w:rsidRDefault="00E9400B" w:rsidP="00E9400B">
      <w:pPr>
        <w:ind w:firstLine="5529"/>
        <w:contextualSpacing/>
        <w:rPr>
          <w:rFonts w:asciiTheme="minorHAnsi" w:hAnsiTheme="minorHAnsi" w:cs="Times New Roman"/>
          <w:i/>
          <w:sz w:val="20"/>
          <w:szCs w:val="20"/>
        </w:rPr>
      </w:pPr>
    </w:p>
    <w:p w14:paraId="1FC8F0D4" w14:textId="77777777" w:rsidR="00E9400B" w:rsidRPr="00E9400B" w:rsidRDefault="00E9400B" w:rsidP="00E9400B">
      <w:pPr>
        <w:ind w:firstLine="5529"/>
        <w:contextualSpacing/>
        <w:rPr>
          <w:rFonts w:asciiTheme="minorHAnsi" w:hAnsiTheme="minorHAnsi" w:cs="Times New Roman"/>
          <w:i/>
          <w:sz w:val="20"/>
          <w:szCs w:val="20"/>
        </w:rPr>
      </w:pPr>
    </w:p>
    <w:p w14:paraId="7ACBC530" w14:textId="77777777" w:rsidR="00E9400B" w:rsidRPr="00E9400B" w:rsidRDefault="00E9400B" w:rsidP="00E9400B">
      <w:pPr>
        <w:ind w:firstLine="5529"/>
        <w:contextualSpacing/>
        <w:rPr>
          <w:rFonts w:asciiTheme="minorHAnsi" w:hAnsiTheme="minorHAnsi" w:cs="Times New Roman"/>
          <w:i/>
          <w:sz w:val="20"/>
          <w:szCs w:val="20"/>
        </w:rPr>
      </w:pPr>
    </w:p>
    <w:p w14:paraId="7658A9E9" w14:textId="77777777" w:rsidR="00E9400B" w:rsidRPr="00E9400B" w:rsidRDefault="00E9400B" w:rsidP="00E9400B">
      <w:pPr>
        <w:ind w:firstLine="5529"/>
        <w:contextualSpacing/>
        <w:rPr>
          <w:rFonts w:asciiTheme="minorHAnsi" w:hAnsiTheme="minorHAnsi" w:cs="Times New Roman"/>
          <w:i/>
          <w:sz w:val="20"/>
          <w:szCs w:val="20"/>
        </w:rPr>
      </w:pPr>
    </w:p>
    <w:p w14:paraId="427B4A01" w14:textId="77777777" w:rsidR="00E9400B" w:rsidRPr="00E9400B" w:rsidRDefault="00E9400B" w:rsidP="00E9400B">
      <w:pPr>
        <w:ind w:firstLine="5529"/>
        <w:contextualSpacing/>
        <w:rPr>
          <w:rFonts w:asciiTheme="minorHAnsi" w:hAnsiTheme="minorHAnsi" w:cs="Times New Roman"/>
          <w:i/>
          <w:sz w:val="20"/>
          <w:szCs w:val="20"/>
        </w:rPr>
      </w:pPr>
    </w:p>
    <w:p w14:paraId="0ED2D3AB" w14:textId="77777777" w:rsidR="00E9400B" w:rsidRPr="00E9400B" w:rsidRDefault="00E9400B" w:rsidP="00E9400B">
      <w:pPr>
        <w:ind w:firstLine="5529"/>
        <w:contextualSpacing/>
        <w:rPr>
          <w:rFonts w:asciiTheme="minorHAnsi" w:hAnsiTheme="minorHAnsi" w:cs="Times New Roman"/>
          <w:i/>
          <w:sz w:val="20"/>
          <w:szCs w:val="20"/>
        </w:rPr>
      </w:pPr>
    </w:p>
    <w:p w14:paraId="490F0FA7" w14:textId="77777777" w:rsidR="00E9400B" w:rsidRPr="00E9400B" w:rsidRDefault="00E9400B" w:rsidP="00E9400B">
      <w:pPr>
        <w:ind w:firstLine="5529"/>
        <w:contextualSpacing/>
        <w:rPr>
          <w:rFonts w:asciiTheme="minorHAnsi" w:hAnsiTheme="minorHAnsi" w:cs="Times New Roman"/>
          <w:i/>
          <w:sz w:val="20"/>
          <w:szCs w:val="20"/>
        </w:rPr>
      </w:pPr>
    </w:p>
    <w:p w14:paraId="61D84CE9" w14:textId="77777777" w:rsidR="00E9400B" w:rsidRPr="00E9400B" w:rsidRDefault="00E9400B" w:rsidP="00E9400B">
      <w:pPr>
        <w:ind w:firstLine="5529"/>
        <w:contextualSpacing/>
        <w:rPr>
          <w:rFonts w:asciiTheme="minorHAnsi" w:hAnsiTheme="minorHAnsi" w:cs="Times New Roman"/>
          <w:i/>
          <w:sz w:val="20"/>
          <w:szCs w:val="20"/>
        </w:rPr>
      </w:pPr>
    </w:p>
    <w:p w14:paraId="420B7F47" w14:textId="77777777" w:rsidR="00E9400B" w:rsidRPr="00E9400B" w:rsidRDefault="00E9400B" w:rsidP="00E9400B">
      <w:pPr>
        <w:ind w:firstLine="5529"/>
        <w:contextualSpacing/>
        <w:rPr>
          <w:rFonts w:asciiTheme="minorHAnsi" w:hAnsiTheme="minorHAnsi" w:cs="Times New Roman"/>
          <w:i/>
          <w:sz w:val="20"/>
          <w:szCs w:val="20"/>
        </w:rPr>
      </w:pPr>
    </w:p>
    <w:p w14:paraId="4E1EB191" w14:textId="77777777" w:rsidR="00E9400B" w:rsidRPr="00E9400B" w:rsidRDefault="00E9400B" w:rsidP="00E9400B">
      <w:pPr>
        <w:ind w:firstLine="5529"/>
        <w:contextualSpacing/>
        <w:rPr>
          <w:rFonts w:asciiTheme="minorHAnsi" w:hAnsiTheme="minorHAnsi" w:cs="Times New Roman"/>
          <w:i/>
          <w:sz w:val="20"/>
          <w:szCs w:val="20"/>
        </w:rPr>
      </w:pPr>
    </w:p>
    <w:p w14:paraId="0A8EDB4D" w14:textId="77777777" w:rsidR="00E9400B" w:rsidRPr="00214F83" w:rsidRDefault="00E9400B" w:rsidP="00E9400B">
      <w:pPr>
        <w:ind w:firstLine="5529"/>
        <w:contextualSpacing/>
        <w:rPr>
          <w:rFonts w:asciiTheme="minorHAnsi" w:hAnsiTheme="minorHAnsi" w:cs="Times New Roman"/>
          <w:i/>
          <w:sz w:val="20"/>
          <w:szCs w:val="20"/>
        </w:rPr>
      </w:pPr>
    </w:p>
    <w:p w14:paraId="257FC15C" w14:textId="77777777" w:rsidR="00E9400B" w:rsidRPr="00E9400B" w:rsidRDefault="00E9400B" w:rsidP="00E9400B">
      <w:pPr>
        <w:ind w:firstLine="5529"/>
        <w:contextualSpacing/>
        <w:rPr>
          <w:rFonts w:asciiTheme="minorHAnsi" w:hAnsiTheme="minorHAnsi" w:cs="Times New Roman"/>
          <w:i/>
          <w:sz w:val="20"/>
          <w:szCs w:val="20"/>
        </w:rPr>
      </w:pPr>
    </w:p>
    <w:p w14:paraId="3129BC97" w14:textId="77777777" w:rsidR="00E9400B" w:rsidRPr="00E9400B" w:rsidRDefault="00E9400B" w:rsidP="00E9400B">
      <w:pPr>
        <w:ind w:firstLine="5529"/>
        <w:contextualSpacing/>
        <w:rPr>
          <w:rFonts w:asciiTheme="minorHAnsi" w:hAnsiTheme="minorHAnsi" w:cs="Times New Roman"/>
          <w:i/>
          <w:sz w:val="20"/>
          <w:szCs w:val="20"/>
        </w:rPr>
      </w:pPr>
    </w:p>
    <w:p w14:paraId="2934C25A" w14:textId="77777777" w:rsidR="00E9400B" w:rsidRPr="00E9400B" w:rsidRDefault="00E9400B" w:rsidP="00E9400B">
      <w:pPr>
        <w:ind w:firstLine="5529"/>
        <w:contextualSpacing/>
        <w:rPr>
          <w:rFonts w:asciiTheme="minorHAnsi" w:hAnsiTheme="minorHAnsi" w:cs="Times New Roman"/>
          <w:i/>
          <w:sz w:val="20"/>
          <w:szCs w:val="20"/>
        </w:rPr>
      </w:pPr>
    </w:p>
    <w:p w14:paraId="6810B3D6" w14:textId="77777777" w:rsidR="00E9400B" w:rsidRPr="00E9400B" w:rsidRDefault="00E9400B" w:rsidP="00E9400B">
      <w:pPr>
        <w:ind w:firstLine="5529"/>
        <w:contextualSpacing/>
        <w:rPr>
          <w:rFonts w:asciiTheme="minorHAnsi" w:hAnsiTheme="minorHAnsi" w:cs="Times New Roman"/>
          <w:i/>
          <w:sz w:val="20"/>
          <w:szCs w:val="20"/>
        </w:rPr>
      </w:pPr>
    </w:p>
    <w:p w14:paraId="63CFFAF9"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lang w:val="ru-RU"/>
        </w:rPr>
      </w:pPr>
      <w:r w:rsidRPr="00E9400B">
        <w:rPr>
          <w:rStyle w:val="20pt"/>
          <w:rFonts w:asciiTheme="minorHAnsi" w:hAnsiTheme="minorHAnsi" w:cs="Times New Roman"/>
          <w:bCs w:val="0"/>
          <w:color w:val="auto"/>
          <w:sz w:val="20"/>
          <w:szCs w:val="20"/>
          <w:lang w:val="ru-RU"/>
        </w:rPr>
        <w:t>ПРАВИЛА</w:t>
      </w:r>
    </w:p>
    <w:p w14:paraId="3CDC0151"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r w:rsidRPr="00E9400B">
        <w:rPr>
          <w:rStyle w:val="20pt"/>
          <w:rFonts w:asciiTheme="minorHAnsi" w:hAnsiTheme="minorHAnsi" w:cs="Times New Roman"/>
          <w:bCs w:val="0"/>
          <w:color w:val="auto"/>
          <w:sz w:val="20"/>
          <w:szCs w:val="20"/>
        </w:rPr>
        <w:t>НАДАННЯ ГАРАНТІЙ ТА ПОРУЧИТЕЛЬСТВ</w:t>
      </w:r>
    </w:p>
    <w:p w14:paraId="5F2B589D"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r w:rsidRPr="00E9400B">
        <w:rPr>
          <w:rStyle w:val="20pt"/>
          <w:rFonts w:asciiTheme="minorHAnsi" w:hAnsiTheme="minorHAnsi" w:cs="Times New Roman"/>
          <w:bCs w:val="0"/>
          <w:color w:val="auto"/>
          <w:sz w:val="20"/>
          <w:szCs w:val="20"/>
        </w:rPr>
        <w:t>ТОВАРИСТВО</w:t>
      </w:r>
      <w:r>
        <w:rPr>
          <w:rStyle w:val="20pt"/>
          <w:rFonts w:asciiTheme="minorHAnsi" w:hAnsiTheme="minorHAnsi" w:cs="Times New Roman"/>
          <w:bCs w:val="0"/>
          <w:color w:val="auto"/>
          <w:sz w:val="20"/>
          <w:szCs w:val="20"/>
        </w:rPr>
        <w:t>М</w:t>
      </w:r>
      <w:r w:rsidRPr="00E9400B">
        <w:rPr>
          <w:rStyle w:val="20pt"/>
          <w:rFonts w:asciiTheme="minorHAnsi" w:hAnsiTheme="minorHAnsi" w:cs="Times New Roman"/>
          <w:bCs w:val="0"/>
          <w:color w:val="auto"/>
          <w:sz w:val="20"/>
          <w:szCs w:val="20"/>
        </w:rPr>
        <w:t xml:space="preserve"> З ОБМЕЖЕНОЮ ВІДПОВІДАЛЬН</w:t>
      </w:r>
      <w:r>
        <w:rPr>
          <w:rStyle w:val="20pt"/>
          <w:rFonts w:asciiTheme="minorHAnsi" w:hAnsiTheme="minorHAnsi" w:cs="Times New Roman"/>
          <w:bCs w:val="0"/>
          <w:color w:val="auto"/>
          <w:sz w:val="20"/>
          <w:szCs w:val="20"/>
        </w:rPr>
        <w:t>І</w:t>
      </w:r>
      <w:r w:rsidRPr="00E9400B">
        <w:rPr>
          <w:rStyle w:val="20pt"/>
          <w:rFonts w:asciiTheme="minorHAnsi" w:hAnsiTheme="minorHAnsi" w:cs="Times New Roman"/>
          <w:bCs w:val="0"/>
          <w:color w:val="auto"/>
          <w:sz w:val="20"/>
          <w:szCs w:val="20"/>
        </w:rPr>
        <w:t xml:space="preserve">СТЮ </w:t>
      </w:r>
    </w:p>
    <w:p w14:paraId="1CF37739" w14:textId="758C4F0D" w:rsidR="00E9400B" w:rsidRPr="00E9400B" w:rsidRDefault="000D3FAE" w:rsidP="00E9400B">
      <w:pPr>
        <w:tabs>
          <w:tab w:val="left" w:pos="8647"/>
        </w:tabs>
        <w:jc w:val="center"/>
        <w:rPr>
          <w:rStyle w:val="20pt"/>
          <w:rFonts w:asciiTheme="minorHAnsi" w:hAnsiTheme="minorHAnsi" w:cs="Times New Roman"/>
          <w:b w:val="0"/>
          <w:bCs w:val="0"/>
          <w:color w:val="auto"/>
          <w:sz w:val="20"/>
          <w:szCs w:val="20"/>
        </w:rPr>
      </w:pPr>
      <w:r w:rsidRPr="000D3FAE">
        <w:rPr>
          <w:rFonts w:asciiTheme="minorHAnsi" w:hAnsiTheme="minorHAnsi" w:cs="Times New Roman"/>
          <w:b/>
          <w:sz w:val="20"/>
          <w:szCs w:val="20"/>
          <w:lang w:val="ru-RU"/>
        </w:rPr>
        <w:t>"</w:t>
      </w:r>
      <w:r w:rsidR="00BC7983" w:rsidRPr="00BC7983">
        <w:rPr>
          <w:rFonts w:asciiTheme="minorHAnsi" w:hAnsiTheme="minorHAnsi" w:cs="Times New Roman"/>
          <w:b/>
          <w:sz w:val="20"/>
          <w:szCs w:val="20"/>
        </w:rPr>
        <w:t>ПАРИТЕТ ФІНАНС</w:t>
      </w:r>
      <w:r w:rsidRPr="000D3FAE">
        <w:rPr>
          <w:rFonts w:asciiTheme="minorHAnsi" w:hAnsiTheme="minorHAnsi" w:cs="Times New Roman"/>
          <w:b/>
          <w:sz w:val="20"/>
          <w:szCs w:val="20"/>
          <w:lang w:val="ru-RU"/>
        </w:rPr>
        <w:t>"</w:t>
      </w:r>
    </w:p>
    <w:p w14:paraId="433186AC" w14:textId="77777777" w:rsidR="00E9400B" w:rsidRPr="00E9400B" w:rsidRDefault="00E9400B" w:rsidP="00E9400B">
      <w:pPr>
        <w:tabs>
          <w:tab w:val="left" w:pos="8647"/>
        </w:tabs>
        <w:jc w:val="center"/>
        <w:rPr>
          <w:rStyle w:val="20pt"/>
          <w:rFonts w:asciiTheme="minorHAnsi" w:hAnsiTheme="minorHAnsi" w:cs="Times New Roman"/>
          <w:b w:val="0"/>
          <w:bCs w:val="0"/>
          <w:color w:val="auto"/>
          <w:sz w:val="20"/>
          <w:szCs w:val="20"/>
        </w:rPr>
      </w:pPr>
    </w:p>
    <w:p w14:paraId="5E083A77"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CB7DA18"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3436B604"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31F1957D"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C00B4AE"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622029A3"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06EA356C"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62103697"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230B2E33"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EF83137"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2851141"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5F3B146"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0E488EC"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A658BF2"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4B67DF5"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280AFEF1"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8E31C59"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BC35008"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EE22A9C"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65896522"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62F9A79C"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E9FF8D8"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A1A42E4"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5C852F85"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C7CE38B"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5E3250B8"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B4F7B2F"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33599D5"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A5B5F76" w14:textId="77777777" w:rsidR="00E9400B" w:rsidRDefault="00E9400B" w:rsidP="00E9400B">
      <w:pPr>
        <w:tabs>
          <w:tab w:val="left" w:pos="8647"/>
        </w:tabs>
        <w:jc w:val="center"/>
        <w:rPr>
          <w:rStyle w:val="20pt"/>
          <w:rFonts w:asciiTheme="minorHAnsi" w:hAnsiTheme="minorHAnsi" w:cs="Times New Roman"/>
          <w:bCs w:val="0"/>
          <w:color w:val="auto"/>
          <w:sz w:val="20"/>
          <w:szCs w:val="20"/>
        </w:rPr>
      </w:pPr>
    </w:p>
    <w:p w14:paraId="1E6A1EF7" w14:textId="77777777" w:rsidR="00E9400B" w:rsidRDefault="00E9400B" w:rsidP="00E9400B">
      <w:pPr>
        <w:tabs>
          <w:tab w:val="left" w:pos="8647"/>
        </w:tabs>
        <w:jc w:val="center"/>
        <w:rPr>
          <w:rStyle w:val="20pt"/>
          <w:rFonts w:asciiTheme="minorHAnsi" w:hAnsiTheme="minorHAnsi" w:cs="Times New Roman"/>
          <w:bCs w:val="0"/>
          <w:color w:val="auto"/>
          <w:sz w:val="20"/>
          <w:szCs w:val="20"/>
        </w:rPr>
      </w:pPr>
    </w:p>
    <w:p w14:paraId="6832AF30" w14:textId="77777777" w:rsidR="00E9400B" w:rsidRDefault="00E9400B" w:rsidP="00E9400B">
      <w:pPr>
        <w:tabs>
          <w:tab w:val="left" w:pos="8647"/>
        </w:tabs>
        <w:jc w:val="center"/>
        <w:rPr>
          <w:rStyle w:val="20pt"/>
          <w:rFonts w:asciiTheme="minorHAnsi" w:hAnsiTheme="minorHAnsi" w:cs="Times New Roman"/>
          <w:bCs w:val="0"/>
          <w:color w:val="auto"/>
          <w:sz w:val="20"/>
          <w:szCs w:val="20"/>
        </w:rPr>
      </w:pPr>
    </w:p>
    <w:p w14:paraId="7B77ACE2" w14:textId="77777777" w:rsidR="00E9400B" w:rsidRDefault="00E9400B" w:rsidP="00E9400B">
      <w:pPr>
        <w:tabs>
          <w:tab w:val="left" w:pos="8647"/>
        </w:tabs>
        <w:jc w:val="center"/>
        <w:rPr>
          <w:rStyle w:val="20pt"/>
          <w:rFonts w:asciiTheme="minorHAnsi" w:hAnsiTheme="minorHAnsi" w:cs="Times New Roman"/>
          <w:bCs w:val="0"/>
          <w:color w:val="auto"/>
          <w:sz w:val="20"/>
          <w:szCs w:val="20"/>
        </w:rPr>
      </w:pPr>
    </w:p>
    <w:p w14:paraId="3930623F" w14:textId="77777777" w:rsidR="00E9400B" w:rsidRDefault="00E9400B" w:rsidP="00E9400B">
      <w:pPr>
        <w:tabs>
          <w:tab w:val="left" w:pos="8647"/>
        </w:tabs>
        <w:jc w:val="center"/>
        <w:rPr>
          <w:rStyle w:val="20pt"/>
          <w:rFonts w:asciiTheme="minorHAnsi" w:hAnsiTheme="minorHAnsi" w:cs="Times New Roman"/>
          <w:bCs w:val="0"/>
          <w:color w:val="auto"/>
          <w:sz w:val="20"/>
          <w:szCs w:val="20"/>
        </w:rPr>
      </w:pPr>
    </w:p>
    <w:p w14:paraId="1035E661"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7ED3C265"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1CD58E83" w14:textId="362A64AE" w:rsidR="00B4230A" w:rsidRDefault="00E9400B" w:rsidP="00E9400B">
      <w:pPr>
        <w:tabs>
          <w:tab w:val="left" w:pos="8647"/>
        </w:tabs>
        <w:jc w:val="center"/>
        <w:rPr>
          <w:rStyle w:val="20pt"/>
          <w:rFonts w:asciiTheme="minorHAnsi" w:hAnsiTheme="minorHAnsi" w:cs="Times New Roman"/>
          <w:bCs w:val="0"/>
          <w:color w:val="auto"/>
          <w:sz w:val="20"/>
          <w:szCs w:val="20"/>
        </w:rPr>
      </w:pPr>
      <w:r w:rsidRPr="00E9400B">
        <w:rPr>
          <w:rStyle w:val="20pt"/>
          <w:rFonts w:asciiTheme="minorHAnsi" w:hAnsiTheme="minorHAnsi" w:cs="Times New Roman"/>
          <w:bCs w:val="0"/>
          <w:color w:val="auto"/>
          <w:sz w:val="20"/>
          <w:szCs w:val="20"/>
        </w:rPr>
        <w:t>КИЇВ –</w:t>
      </w:r>
      <w:r w:rsidR="00851398">
        <w:rPr>
          <w:rStyle w:val="20pt"/>
          <w:rFonts w:asciiTheme="minorHAnsi" w:hAnsiTheme="minorHAnsi" w:cs="Times New Roman"/>
          <w:bCs w:val="0"/>
          <w:color w:val="auto"/>
          <w:sz w:val="20"/>
          <w:szCs w:val="20"/>
        </w:rPr>
        <w:t xml:space="preserve"> 2017</w:t>
      </w:r>
    </w:p>
    <w:p w14:paraId="13653703" w14:textId="77777777" w:rsidR="00B4230A" w:rsidRDefault="00B4230A">
      <w:pPr>
        <w:spacing w:after="200" w:line="276" w:lineRule="auto"/>
        <w:rPr>
          <w:rStyle w:val="20pt"/>
          <w:rFonts w:asciiTheme="minorHAnsi" w:hAnsiTheme="minorHAnsi" w:cs="Times New Roman"/>
          <w:bCs w:val="0"/>
          <w:color w:val="auto"/>
          <w:sz w:val="20"/>
          <w:szCs w:val="20"/>
        </w:rPr>
      </w:pPr>
      <w:r>
        <w:rPr>
          <w:rStyle w:val="20pt"/>
          <w:rFonts w:asciiTheme="minorHAnsi" w:hAnsiTheme="minorHAnsi" w:cs="Times New Roman"/>
          <w:bCs w:val="0"/>
          <w:color w:val="auto"/>
          <w:sz w:val="20"/>
          <w:szCs w:val="20"/>
        </w:rPr>
        <w:br w:type="page"/>
      </w:r>
    </w:p>
    <w:p w14:paraId="40FFF36D" w14:textId="77777777" w:rsidR="00E9400B" w:rsidRPr="00E9400B" w:rsidRDefault="00E9400B" w:rsidP="00E9400B">
      <w:pPr>
        <w:tabs>
          <w:tab w:val="left" w:pos="8647"/>
        </w:tabs>
        <w:jc w:val="center"/>
        <w:rPr>
          <w:rStyle w:val="20pt"/>
          <w:rFonts w:asciiTheme="minorHAnsi" w:hAnsiTheme="minorHAnsi" w:cs="Times New Roman"/>
          <w:bCs w:val="0"/>
          <w:color w:val="auto"/>
          <w:sz w:val="20"/>
          <w:szCs w:val="20"/>
        </w:rPr>
      </w:pPr>
    </w:p>
    <w:p w14:paraId="47C8E7C5" w14:textId="77777777" w:rsidR="00E9400B" w:rsidRPr="009C65BB" w:rsidRDefault="00E9400B" w:rsidP="009C65BB">
      <w:pPr>
        <w:numPr>
          <w:ilvl w:val="0"/>
          <w:numId w:val="1"/>
        </w:numPr>
        <w:tabs>
          <w:tab w:val="left" w:pos="993"/>
          <w:tab w:val="left" w:pos="1134"/>
        </w:tabs>
        <w:jc w:val="both"/>
        <w:rPr>
          <w:rFonts w:asciiTheme="minorHAnsi" w:hAnsiTheme="minorHAnsi" w:cs="Times New Roman"/>
          <w:color w:val="auto"/>
          <w:sz w:val="20"/>
          <w:szCs w:val="20"/>
        </w:rPr>
      </w:pPr>
      <w:r w:rsidRPr="009C65BB">
        <w:rPr>
          <w:rFonts w:asciiTheme="minorHAnsi" w:hAnsiTheme="minorHAnsi" w:cs="Times New Roman"/>
          <w:b/>
          <w:color w:val="auto"/>
          <w:sz w:val="20"/>
          <w:szCs w:val="20"/>
        </w:rPr>
        <w:t>ЗАГАЛЬНІ ПОЛОЖЕННЯ.</w:t>
      </w:r>
    </w:p>
    <w:p w14:paraId="0170428B" w14:textId="6FD7893C" w:rsidR="00E9400B" w:rsidRPr="009C65BB" w:rsidRDefault="00E9400B" w:rsidP="00BC7983">
      <w:pPr>
        <w:numPr>
          <w:ilvl w:val="1"/>
          <w:numId w:val="1"/>
        </w:numPr>
        <w:tabs>
          <w:tab w:val="left" w:pos="993"/>
          <w:tab w:val="left" w:pos="1134"/>
        </w:tabs>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Ці Правила про надання гарантій та поручительств </w:t>
      </w:r>
      <w:r w:rsidRPr="009C65BB">
        <w:rPr>
          <w:rStyle w:val="a5"/>
          <w:rFonts w:asciiTheme="minorHAnsi" w:hAnsiTheme="minorHAnsi" w:cs="Times New Roman"/>
          <w:bCs w:val="0"/>
          <w:i w:val="0"/>
          <w:color w:val="auto"/>
          <w:sz w:val="20"/>
          <w:szCs w:val="20"/>
        </w:rPr>
        <w:t>ТОВАРИСТВОМ З ОБМЕЖЕНОЮ ВІДПОВІДАЛЬНІСТЮ</w:t>
      </w:r>
      <w:r w:rsidRPr="009C65BB">
        <w:rPr>
          <w:rStyle w:val="a5"/>
          <w:rFonts w:asciiTheme="minorHAnsi" w:hAnsiTheme="minorHAnsi" w:cs="Times New Roman"/>
          <w:b w:val="0"/>
          <w:bCs w:val="0"/>
          <w:i w:val="0"/>
          <w:color w:val="auto"/>
          <w:sz w:val="20"/>
          <w:szCs w:val="20"/>
        </w:rPr>
        <w:t xml:space="preserve"> </w:t>
      </w:r>
      <w:r w:rsidR="00851398" w:rsidRPr="00851398">
        <w:rPr>
          <w:rFonts w:asciiTheme="minorHAnsi" w:hAnsiTheme="minorHAnsi" w:cs="Times New Roman"/>
          <w:b/>
          <w:sz w:val="20"/>
          <w:szCs w:val="20"/>
          <w:lang w:val="ru-RU"/>
        </w:rPr>
        <w:t>"</w:t>
      </w:r>
      <w:r w:rsidR="00BC7983" w:rsidRPr="00BC7983">
        <w:rPr>
          <w:rFonts w:asciiTheme="minorHAnsi" w:hAnsiTheme="minorHAnsi" w:cs="Times New Roman"/>
          <w:b/>
          <w:sz w:val="20"/>
          <w:szCs w:val="20"/>
          <w:lang w:val="ru-RU"/>
        </w:rPr>
        <w:t>ПАРИТЕТ ФІНАНС</w:t>
      </w:r>
      <w:r w:rsidR="00851398" w:rsidRPr="00851398">
        <w:rPr>
          <w:rFonts w:asciiTheme="minorHAnsi" w:hAnsiTheme="minorHAnsi" w:cs="Times New Roman"/>
          <w:b/>
          <w:sz w:val="20"/>
          <w:szCs w:val="20"/>
          <w:lang w:val="ru-RU"/>
        </w:rPr>
        <w:t>"</w:t>
      </w:r>
      <w:r w:rsidRPr="009C65BB">
        <w:rPr>
          <w:rFonts w:asciiTheme="minorHAnsi" w:hAnsiTheme="minorHAnsi" w:cs="Times New Roman"/>
          <w:color w:val="auto"/>
          <w:sz w:val="20"/>
          <w:szCs w:val="20"/>
        </w:rPr>
        <w:t xml:space="preserve"> (далі - Правила) регламентують порядок, умови надання  гарантій та поручительств, та їх виконання</w:t>
      </w:r>
      <w:r w:rsidRPr="009C65BB">
        <w:rPr>
          <w:rStyle w:val="a5"/>
          <w:rFonts w:asciiTheme="minorHAnsi" w:hAnsiTheme="minorHAnsi" w:cs="Times New Roman"/>
          <w:b w:val="0"/>
          <w:bCs w:val="0"/>
          <w:i w:val="0"/>
          <w:color w:val="auto"/>
          <w:sz w:val="20"/>
          <w:szCs w:val="20"/>
        </w:rPr>
        <w:t xml:space="preserve"> </w:t>
      </w:r>
      <w:r w:rsidRPr="009C65BB">
        <w:rPr>
          <w:rStyle w:val="a5"/>
          <w:rFonts w:asciiTheme="minorHAnsi" w:hAnsiTheme="minorHAnsi" w:cs="Times New Roman"/>
          <w:bCs w:val="0"/>
          <w:i w:val="0"/>
          <w:color w:val="auto"/>
          <w:sz w:val="20"/>
          <w:szCs w:val="20"/>
        </w:rPr>
        <w:t>ТОВАРИСТВОМ З ОБМЕЖЕНОЮ ВІДПОВІДАЛЬНІСТЮ</w:t>
      </w:r>
      <w:r w:rsidRPr="009C65BB">
        <w:rPr>
          <w:rStyle w:val="a5"/>
          <w:rFonts w:asciiTheme="minorHAnsi" w:hAnsiTheme="minorHAnsi" w:cs="Times New Roman"/>
          <w:b w:val="0"/>
          <w:bCs w:val="0"/>
          <w:i w:val="0"/>
          <w:color w:val="auto"/>
          <w:sz w:val="20"/>
          <w:szCs w:val="20"/>
        </w:rPr>
        <w:t xml:space="preserve"> </w:t>
      </w:r>
      <w:r w:rsidR="00851398" w:rsidRPr="00851398">
        <w:rPr>
          <w:rFonts w:asciiTheme="minorHAnsi" w:hAnsiTheme="minorHAnsi" w:cs="Times New Roman"/>
          <w:b/>
          <w:sz w:val="20"/>
          <w:szCs w:val="20"/>
          <w:lang w:val="ru-RU"/>
        </w:rPr>
        <w:t>"</w:t>
      </w:r>
      <w:r w:rsidR="00BC7983" w:rsidRPr="00BC7983">
        <w:rPr>
          <w:rFonts w:asciiTheme="minorHAnsi" w:hAnsiTheme="minorHAnsi" w:cs="Times New Roman"/>
          <w:b/>
          <w:sz w:val="20"/>
          <w:szCs w:val="20"/>
          <w:lang w:val="ru-RU"/>
        </w:rPr>
        <w:t>ПАРИТЕТ ФІНАНС</w:t>
      </w:r>
      <w:r w:rsidR="00851398" w:rsidRPr="00851398">
        <w:rPr>
          <w:rFonts w:asciiTheme="minorHAnsi" w:hAnsiTheme="minorHAnsi" w:cs="Times New Roman"/>
          <w:b/>
          <w:sz w:val="20"/>
          <w:szCs w:val="20"/>
          <w:lang w:val="ru-RU"/>
        </w:rPr>
        <w:t>"</w:t>
      </w:r>
      <w:r w:rsidRPr="009C65BB">
        <w:rPr>
          <w:rFonts w:asciiTheme="minorHAnsi" w:hAnsiTheme="minorHAnsi" w:cs="Times New Roman"/>
          <w:color w:val="auto"/>
          <w:sz w:val="20"/>
          <w:szCs w:val="20"/>
        </w:rPr>
        <w:t xml:space="preserve"> </w:t>
      </w:r>
      <w:r w:rsidRPr="009C65BB">
        <w:rPr>
          <w:rStyle w:val="a5"/>
          <w:rFonts w:asciiTheme="minorHAnsi" w:hAnsiTheme="minorHAnsi" w:cs="Times New Roman"/>
          <w:b w:val="0"/>
          <w:bCs w:val="0"/>
          <w:i w:val="0"/>
          <w:color w:val="auto"/>
          <w:sz w:val="20"/>
          <w:szCs w:val="20"/>
        </w:rPr>
        <w:t xml:space="preserve"> </w:t>
      </w:r>
      <w:r w:rsidRPr="009C65BB">
        <w:rPr>
          <w:rFonts w:asciiTheme="minorHAnsi" w:hAnsiTheme="minorHAnsi" w:cs="Times New Roman"/>
          <w:bCs/>
          <w:color w:val="auto"/>
          <w:sz w:val="20"/>
          <w:szCs w:val="20"/>
        </w:rPr>
        <w:t>(у подальшому «Товариство» та/або «Компанія»)</w:t>
      </w:r>
      <w:r w:rsidRPr="009C65BB">
        <w:rPr>
          <w:rFonts w:asciiTheme="minorHAnsi" w:hAnsiTheme="minorHAnsi" w:cs="Times New Roman"/>
          <w:color w:val="auto"/>
          <w:sz w:val="20"/>
          <w:szCs w:val="20"/>
        </w:rPr>
        <w:t>.</w:t>
      </w:r>
    </w:p>
    <w:p w14:paraId="4AB57708" w14:textId="77777777" w:rsidR="00E9400B" w:rsidRPr="009C65BB" w:rsidRDefault="00E9400B" w:rsidP="009C65BB">
      <w:pPr>
        <w:numPr>
          <w:ilvl w:val="1"/>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Правилами визначаються підстави, умови та порядок укладання договорів з клієнтами, порядок їх зберігання, а також зберігання інших документів, пов'язаних з наданням поручительств та гарантій, </w:t>
      </w:r>
      <w:r w:rsidRPr="009C65BB">
        <w:rPr>
          <w:rStyle w:val="a5"/>
          <w:rFonts w:asciiTheme="minorHAnsi" w:hAnsiTheme="minorHAnsi" w:cs="Times New Roman"/>
          <w:b w:val="0"/>
          <w:i w:val="0"/>
          <w:color w:val="auto"/>
          <w:sz w:val="20"/>
          <w:szCs w:val="20"/>
        </w:rPr>
        <w:t>порядок</w:t>
      </w:r>
      <w:r w:rsidRPr="009C65BB">
        <w:rPr>
          <w:rFonts w:asciiTheme="minorHAnsi" w:hAnsiTheme="minorHAnsi" w:cs="Times New Roman"/>
          <w:color w:val="auto"/>
          <w:sz w:val="20"/>
          <w:szCs w:val="20"/>
        </w:rPr>
        <w:t xml:space="preserve"> доступу до документів та іншої інформації, пов'язаної з наданням фінансових послуг, та систему захисту інформації, порядок проведення внутрішнього контролю щодо дотримання законодавства та внутрішніх регламентуючих документів при здійсненні операцій з надання поручительств та гарантій, відповідальність посадових осіб, до посадових обов'язків яких належать безпосередня робота з клієнтами, укладання та виконання договорів про надання поручительств та гарантій. Примірний договір про надання гарантії та договір поручительства затверджуються відповідно до цих правил та в порядку визначеному установчими документами Товариства.</w:t>
      </w:r>
    </w:p>
    <w:p w14:paraId="2EA45203" w14:textId="77777777" w:rsidR="00E9400B" w:rsidRPr="009C65BB" w:rsidRDefault="00E9400B" w:rsidP="009C65BB">
      <w:p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ab/>
        <w:t>Правила є обов'язковими для всіх працівників Товариства, які відповідно до посадових обов'язків  здійснюють укладання договорів гарантій та поручительств.</w:t>
      </w:r>
    </w:p>
    <w:p w14:paraId="70EB15CD" w14:textId="77777777" w:rsidR="00E9400B" w:rsidRPr="009C65BB" w:rsidRDefault="00E9400B" w:rsidP="009C65BB">
      <w:pPr>
        <w:numPr>
          <w:ilvl w:val="1"/>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Здійснення фінансових послуг, а саме гарантій та поручительств регламентується Цивільним </w:t>
      </w:r>
      <w:r w:rsidRPr="009C65BB">
        <w:rPr>
          <w:rStyle w:val="a5"/>
          <w:rFonts w:asciiTheme="minorHAnsi" w:hAnsiTheme="minorHAnsi" w:cs="Times New Roman"/>
          <w:b w:val="0"/>
          <w:i w:val="0"/>
          <w:color w:val="auto"/>
          <w:sz w:val="20"/>
          <w:szCs w:val="20"/>
        </w:rPr>
        <w:t>кодексом</w:t>
      </w:r>
      <w:r w:rsidRPr="009C65BB">
        <w:rPr>
          <w:rFonts w:asciiTheme="minorHAnsi" w:hAnsiTheme="minorHAnsi" w:cs="Times New Roman"/>
          <w:color w:val="auto"/>
          <w:sz w:val="20"/>
          <w:szCs w:val="20"/>
        </w:rPr>
        <w:t xml:space="preserve"> України, Господарським кодексом України, Податковим Кодексом України, Законом України «Про фінансові послуги та державне регулювання ринку фінансових послуг», іншими законодавчими та нормативними актами.</w:t>
      </w:r>
    </w:p>
    <w:p w14:paraId="05B05C14" w14:textId="77777777" w:rsidR="00E9400B" w:rsidRPr="009C65BB" w:rsidRDefault="00E9400B" w:rsidP="009C65BB">
      <w:pPr>
        <w:numPr>
          <w:ilvl w:val="1"/>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Ці Правила діють протягом невизначеного терміну. Дію цих Правил може бути припинено, змінено шляхом затвердження нової редакції (або прийняття нових Правил, які замінять діючі).</w:t>
      </w:r>
    </w:p>
    <w:p w14:paraId="59C90F74" w14:textId="77777777" w:rsidR="00E9400B" w:rsidRPr="009C65BB" w:rsidRDefault="00E9400B" w:rsidP="009C65BB">
      <w:pPr>
        <w:tabs>
          <w:tab w:val="left" w:pos="993"/>
          <w:tab w:val="left" w:pos="1134"/>
        </w:tabs>
        <w:ind w:left="928" w:hanging="360"/>
        <w:jc w:val="both"/>
        <w:rPr>
          <w:rFonts w:asciiTheme="minorHAnsi" w:hAnsiTheme="minorHAnsi" w:cs="Times New Roman"/>
          <w:color w:val="auto"/>
          <w:sz w:val="20"/>
          <w:szCs w:val="20"/>
        </w:rPr>
      </w:pPr>
    </w:p>
    <w:p w14:paraId="1162CB15" w14:textId="77777777" w:rsidR="00E9400B" w:rsidRPr="009C65BB" w:rsidRDefault="00E9400B" w:rsidP="009C65BB">
      <w:pPr>
        <w:numPr>
          <w:ilvl w:val="0"/>
          <w:numId w:val="1"/>
        </w:numPr>
        <w:tabs>
          <w:tab w:val="left" w:pos="993"/>
          <w:tab w:val="left" w:pos="1134"/>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ВИЗНАЧЕННЯ ТЕРМІНІВ ТА ПОНЯТЬ.</w:t>
      </w:r>
    </w:p>
    <w:p w14:paraId="1615945C" w14:textId="77777777" w:rsidR="00E9400B" w:rsidRPr="009C65BB" w:rsidRDefault="00E9400B" w:rsidP="009C65BB">
      <w:pPr>
        <w:numPr>
          <w:ilvl w:val="1"/>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 цьому Положенні терміни вживаються в такому значенні:</w:t>
      </w:r>
    </w:p>
    <w:p w14:paraId="54E95BF2"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Відповідальний працівник Товариства - працівник, що перебуває з Товариством в трудових відносинах та на якого безпосередньо згідно наказу Директора Товариства покладається оформлення Договору поручительства</w:t>
      </w:r>
      <w:r w:rsidRPr="009C65BB">
        <w:rPr>
          <w:rFonts w:asciiTheme="minorHAnsi" w:hAnsiTheme="minorHAnsi" w:cs="Times New Roman"/>
          <w:color w:val="auto"/>
          <w:sz w:val="20"/>
          <w:szCs w:val="20"/>
          <w:lang w:val="ru-RU"/>
        </w:rPr>
        <w:t xml:space="preserve"> та</w:t>
      </w:r>
      <w:r w:rsidRPr="009C65BB">
        <w:rPr>
          <w:rFonts w:asciiTheme="minorHAnsi" w:hAnsiTheme="minorHAnsi" w:cs="Times New Roman"/>
          <w:color w:val="auto"/>
          <w:sz w:val="20"/>
          <w:szCs w:val="20"/>
        </w:rPr>
        <w:t xml:space="preserve"> Договору про надання гарантії.</w:t>
      </w:r>
    </w:p>
    <w:p w14:paraId="17793A8B"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Клієнт - юридична особа, фізична особа або фізична особа - підприємець, що користується у Товариства фінансовою послугою.</w:t>
      </w:r>
    </w:p>
    <w:p w14:paraId="20C7A1FE"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Директор - виконавчий орган Товариства, яки здійснює загальне керівництво</w:t>
      </w:r>
    </w:p>
    <w:p w14:paraId="259E494B"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 Товариством, за виключенням питань, які віднесені до компетенції Загальних Зборів учасників.</w:t>
      </w:r>
    </w:p>
    <w:p w14:paraId="446E88AE" w14:textId="6581A23F" w:rsidR="00E9400B" w:rsidRPr="009C65BB" w:rsidRDefault="00E9400B" w:rsidP="00BC7983">
      <w:pPr>
        <w:numPr>
          <w:ilvl w:val="2"/>
          <w:numId w:val="1"/>
        </w:numPr>
        <w:tabs>
          <w:tab w:val="left" w:pos="993"/>
          <w:tab w:val="left" w:pos="1134"/>
        </w:tabs>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Товариство – </w:t>
      </w:r>
      <w:r w:rsidRPr="009C65BB">
        <w:rPr>
          <w:rFonts w:asciiTheme="minorHAnsi" w:hAnsiTheme="minorHAnsi" w:cs="Times New Roman"/>
          <w:b/>
          <w:color w:val="auto"/>
          <w:sz w:val="20"/>
          <w:szCs w:val="20"/>
        </w:rPr>
        <w:t>ТОВ</w:t>
      </w:r>
      <w:r w:rsidR="00A52B0E">
        <w:rPr>
          <w:rFonts w:asciiTheme="minorHAnsi" w:hAnsiTheme="minorHAnsi" w:cs="Times New Roman"/>
          <w:b/>
          <w:color w:val="auto"/>
          <w:sz w:val="20"/>
          <w:szCs w:val="20"/>
        </w:rPr>
        <w:t xml:space="preserve"> </w:t>
      </w:r>
      <w:r w:rsidR="00851398" w:rsidRPr="00851398">
        <w:rPr>
          <w:rFonts w:asciiTheme="minorHAnsi" w:hAnsiTheme="minorHAnsi" w:cs="Times New Roman"/>
          <w:b/>
          <w:sz w:val="20"/>
          <w:szCs w:val="20"/>
        </w:rPr>
        <w:t>"</w:t>
      </w:r>
      <w:r w:rsidR="00BC7983" w:rsidRPr="00BC7983">
        <w:rPr>
          <w:rFonts w:asciiTheme="minorHAnsi" w:hAnsiTheme="minorHAnsi" w:cs="Times New Roman"/>
          <w:b/>
          <w:sz w:val="20"/>
          <w:szCs w:val="20"/>
        </w:rPr>
        <w:t>ПАРИТЕТ ФІНАНС</w:t>
      </w:r>
      <w:r w:rsidR="000D3FAE" w:rsidRPr="000D3FAE">
        <w:rPr>
          <w:rFonts w:asciiTheme="minorHAnsi" w:hAnsiTheme="minorHAnsi" w:cs="Times New Roman"/>
          <w:b/>
          <w:sz w:val="20"/>
          <w:szCs w:val="20"/>
          <w:lang w:val="ru-RU"/>
        </w:rPr>
        <w:t>"</w:t>
      </w:r>
      <w:r w:rsidRPr="009C65BB">
        <w:rPr>
          <w:rStyle w:val="a5"/>
          <w:rFonts w:asciiTheme="minorHAnsi" w:hAnsiTheme="minorHAnsi" w:cs="Times New Roman"/>
          <w:b w:val="0"/>
          <w:bCs w:val="0"/>
          <w:i w:val="0"/>
          <w:color w:val="auto"/>
          <w:sz w:val="20"/>
          <w:szCs w:val="20"/>
        </w:rPr>
        <w:t>;</w:t>
      </w:r>
    </w:p>
    <w:p w14:paraId="5F7E4B28"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Фінансові послуги, які Товариство може надавати у відповідності до цих Правил:</w:t>
      </w:r>
    </w:p>
    <w:p w14:paraId="0B163678" w14:textId="77777777" w:rsidR="00E9400B" w:rsidRPr="009C65BB" w:rsidRDefault="00E9400B" w:rsidP="009C65BB">
      <w:pPr>
        <w:numPr>
          <w:ilvl w:val="3"/>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надання поручительств;</w:t>
      </w:r>
    </w:p>
    <w:p w14:paraId="6E345383" w14:textId="77777777" w:rsidR="00E9400B" w:rsidRPr="009C65BB" w:rsidRDefault="00E9400B" w:rsidP="009C65BB">
      <w:pPr>
        <w:numPr>
          <w:ilvl w:val="3"/>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надання гарантій.</w:t>
      </w:r>
    </w:p>
    <w:p w14:paraId="6874B216"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Поручительство - це вид фінансової послуги, яка полягає в укладені між Товариством (Поручителем) та Клієнтом (Боржником) договору фінансового поручительства, за яким Товариство поручається перед Кредитором Клієнта за виконання ним свого обов'язку (далі - поручительство або фінансове поручительство).</w:t>
      </w:r>
    </w:p>
    <w:p w14:paraId="5FE0EC9A"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Основне зобов'язання - це зобов'язання, що виникло між Кредитором та Клієнтом та за виконання якого Товариство поручається і відповідає перед Кредитором у повному чи частковому обсязі.</w:t>
      </w:r>
    </w:p>
    <w:p w14:paraId="52E1BE64"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Уповноваженим органом на прийняття рішення про укладення Договору поручительства та Договору про надання гарантії є Загальні Збори або Директор.</w:t>
      </w:r>
    </w:p>
    <w:p w14:paraId="3951D221" w14:textId="77777777" w:rsidR="00E9400B" w:rsidRPr="009C65BB" w:rsidRDefault="00E9400B" w:rsidP="009C65BB">
      <w:pPr>
        <w:numPr>
          <w:ilvl w:val="2"/>
          <w:numId w:val="1"/>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Гарантія - це вид фінансової послуги, відповідно до якої Товариство гарантує перед Кредитором виконання Клієнтом (Боржником, Принципалом) основного зобов'язання.</w:t>
      </w:r>
    </w:p>
    <w:p w14:paraId="12F700A0" w14:textId="77777777" w:rsidR="00E9400B" w:rsidRPr="009C65BB" w:rsidRDefault="00E9400B" w:rsidP="009C65BB">
      <w:pPr>
        <w:tabs>
          <w:tab w:val="left" w:pos="993"/>
          <w:tab w:val="left" w:pos="1134"/>
        </w:tabs>
        <w:ind w:left="928" w:hanging="360"/>
        <w:jc w:val="both"/>
        <w:rPr>
          <w:rFonts w:asciiTheme="minorHAnsi" w:hAnsiTheme="minorHAnsi" w:cs="Times New Roman"/>
          <w:b/>
          <w:color w:val="auto"/>
          <w:sz w:val="20"/>
          <w:szCs w:val="20"/>
        </w:rPr>
      </w:pPr>
    </w:p>
    <w:p w14:paraId="28DFBC4A" w14:textId="77777777" w:rsidR="00E9400B" w:rsidRPr="009C65BB" w:rsidRDefault="00E9400B" w:rsidP="009C65BB">
      <w:pPr>
        <w:pStyle w:val="a3"/>
        <w:numPr>
          <w:ilvl w:val="0"/>
          <w:numId w:val="1"/>
        </w:numPr>
        <w:tabs>
          <w:tab w:val="left" w:pos="993"/>
          <w:tab w:val="left" w:pos="1134"/>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УМОВИ, ПОРЯДОК ПРИЙНЯТТЯ РІШЕННЯ ТА УКЛАДЕННЯ ДОГОВОРУ</w:t>
      </w:r>
      <w:r w:rsidRPr="009C65BB">
        <w:rPr>
          <w:rFonts w:asciiTheme="minorHAnsi" w:hAnsiTheme="minorHAnsi" w:cs="Times New Roman"/>
          <w:b/>
          <w:caps/>
          <w:color w:val="auto"/>
          <w:sz w:val="20"/>
          <w:szCs w:val="20"/>
        </w:rPr>
        <w:t xml:space="preserve"> Поручительства</w:t>
      </w:r>
    </w:p>
    <w:p w14:paraId="2A472545"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eastAsia="Arial Unicode MS" w:hAnsiTheme="minorHAnsi" w:cs="Times New Roman"/>
          <w:color w:val="auto"/>
          <w:sz w:val="20"/>
          <w:szCs w:val="20"/>
          <w:lang w:val="uk-UA"/>
        </w:rPr>
      </w:pPr>
      <w:r w:rsidRPr="009C65BB">
        <w:rPr>
          <w:rFonts w:asciiTheme="minorHAnsi" w:eastAsia="Arial Unicode MS" w:hAnsiTheme="minorHAnsi" w:cs="Times New Roman"/>
          <w:color w:val="auto"/>
          <w:sz w:val="20"/>
          <w:szCs w:val="20"/>
          <w:lang w:val="uk-UA"/>
        </w:rPr>
        <w:t>Надання послуги фінансового поручительства здійснюється шляхом укладення Договору поручительства між Товариством та Клієнтом, що укладається тільки в письмовій формі, яким визначаються взаємні зобов'язання та відповідальність Товариства і Клієнта.</w:t>
      </w:r>
    </w:p>
    <w:p w14:paraId="066D9F5D"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eastAsia="Arial Unicode MS" w:hAnsiTheme="minorHAnsi" w:cs="Times New Roman"/>
          <w:color w:val="auto"/>
          <w:sz w:val="20"/>
          <w:szCs w:val="20"/>
          <w:lang w:val="uk-UA"/>
        </w:rPr>
      </w:pPr>
      <w:r w:rsidRPr="009C65BB">
        <w:rPr>
          <w:rFonts w:asciiTheme="minorHAnsi" w:eastAsia="Arial Unicode MS" w:hAnsiTheme="minorHAnsi" w:cs="Times New Roman"/>
          <w:color w:val="auto"/>
          <w:sz w:val="20"/>
          <w:szCs w:val="20"/>
          <w:lang w:val="uk-UA"/>
        </w:rPr>
        <w:t>Рішення про укладення Договору  поручительства приймається уповноваженим органом на підставі заяви Клієнта та аналізу основного зобов’язання на виконання якого надається поручительство та фінансового стану Клієнта.</w:t>
      </w:r>
    </w:p>
    <w:p w14:paraId="3687575A"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eastAsia="Arial Unicode MS" w:hAnsiTheme="minorHAnsi" w:cs="Times New Roman"/>
          <w:color w:val="auto"/>
          <w:sz w:val="20"/>
          <w:szCs w:val="20"/>
          <w:lang w:val="uk-UA"/>
        </w:rPr>
      </w:pPr>
      <w:r w:rsidRPr="009C65BB">
        <w:rPr>
          <w:rFonts w:asciiTheme="minorHAnsi" w:eastAsia="Arial Unicode MS" w:hAnsiTheme="minorHAnsi" w:cs="Times New Roman"/>
          <w:color w:val="auto"/>
          <w:sz w:val="20"/>
          <w:szCs w:val="20"/>
          <w:lang w:val="uk-UA"/>
        </w:rPr>
        <w:t>Строк прийняття рішення про укладення Договору поручительства залежить від складності основного зобов’язання, але не може перевищувати 20 робочих днів.</w:t>
      </w:r>
    </w:p>
    <w:p w14:paraId="012EE3C0"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Прийняття рішення про укладення Договору поручительства між Товариством та Клієнтом відбувається на підставі наступних документів, які подаються Клієнтом:</w:t>
      </w:r>
    </w:p>
    <w:p w14:paraId="7EE3FE3C" w14:textId="77777777" w:rsidR="00E9400B" w:rsidRPr="009C65BB" w:rsidRDefault="00E9400B" w:rsidP="009C65BB">
      <w:pPr>
        <w:pStyle w:val="a3"/>
        <w:numPr>
          <w:ilvl w:val="0"/>
          <w:numId w:val="10"/>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Заява встановленої форми, заповнена у встановленому порядку;</w:t>
      </w:r>
    </w:p>
    <w:p w14:paraId="0B9D3A90" w14:textId="77777777" w:rsidR="00E9400B" w:rsidRPr="009C65BB" w:rsidRDefault="00E9400B" w:rsidP="009C65BB">
      <w:pPr>
        <w:pStyle w:val="a3"/>
        <w:numPr>
          <w:ilvl w:val="0"/>
          <w:numId w:val="10"/>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lastRenderedPageBreak/>
        <w:t>Документ, що підтверджує наявність основного зобов’язання та визначає його істотні умови (наприклад, договір та інші документи);</w:t>
      </w:r>
    </w:p>
    <w:p w14:paraId="29DC6195"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eastAsia="Arial Unicode MS" w:hAnsiTheme="minorHAnsi" w:cs="Times New Roman"/>
          <w:color w:val="auto"/>
          <w:sz w:val="20"/>
          <w:szCs w:val="20"/>
          <w:lang w:val="uk-UA"/>
        </w:rPr>
        <w:t>Клієнти</w:t>
      </w:r>
      <w:r w:rsidRPr="009C65BB">
        <w:rPr>
          <w:rFonts w:asciiTheme="minorHAnsi" w:hAnsiTheme="minorHAnsi" w:cs="Times New Roman"/>
          <w:color w:val="auto"/>
          <w:sz w:val="20"/>
          <w:szCs w:val="20"/>
        </w:rPr>
        <w:t xml:space="preserve"> - фізичні особи також для розгляду заявки подають наступні документи:</w:t>
      </w:r>
    </w:p>
    <w:p w14:paraId="06985E9C" w14:textId="77777777" w:rsidR="00E9400B" w:rsidRPr="009C65BB" w:rsidRDefault="00E9400B" w:rsidP="009C65BB">
      <w:pPr>
        <w:pStyle w:val="a3"/>
        <w:numPr>
          <w:ilvl w:val="0"/>
          <w:numId w:val="9"/>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паспорт або документ, що його замінює;</w:t>
      </w:r>
    </w:p>
    <w:p w14:paraId="1E72331B" w14:textId="77777777" w:rsidR="00E9400B" w:rsidRPr="009C65BB" w:rsidRDefault="00E9400B" w:rsidP="009C65BB">
      <w:pPr>
        <w:pStyle w:val="a3"/>
        <w:numPr>
          <w:ilvl w:val="0"/>
          <w:numId w:val="9"/>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про прис</w:t>
      </w:r>
      <w:bookmarkStart w:id="0" w:name="_GoBack"/>
      <w:bookmarkEnd w:id="0"/>
      <w:r w:rsidRPr="009C65BB">
        <w:rPr>
          <w:rFonts w:asciiTheme="minorHAnsi" w:hAnsiTheme="minorHAnsi" w:cs="Times New Roman"/>
          <w:color w:val="auto"/>
          <w:sz w:val="20"/>
          <w:szCs w:val="20"/>
        </w:rPr>
        <w:t>воєння ідентифікаційного коду платника податку з прибутку;</w:t>
      </w:r>
    </w:p>
    <w:p w14:paraId="1E1F61A3" w14:textId="77777777" w:rsidR="00E9400B" w:rsidRPr="009C65BB" w:rsidRDefault="00E9400B" w:rsidP="009C65BB">
      <w:pPr>
        <w:pStyle w:val="a3"/>
        <w:numPr>
          <w:ilvl w:val="0"/>
          <w:numId w:val="9"/>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довідку з місця роботи клієнта з зазначенням доходу, який він отримує (середньомісячного заробітку) та розміром утримань; </w:t>
      </w:r>
    </w:p>
    <w:p w14:paraId="34F160FD" w14:textId="77777777" w:rsidR="00E9400B" w:rsidRPr="009C65BB" w:rsidRDefault="00E9400B" w:rsidP="009C65BB">
      <w:pPr>
        <w:pStyle w:val="a3"/>
        <w:numPr>
          <w:ilvl w:val="0"/>
          <w:numId w:val="9"/>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документи, що необхідні для визначення платоспроможності клієнта;</w:t>
      </w:r>
    </w:p>
    <w:p w14:paraId="2B229B49" w14:textId="77777777" w:rsidR="00E9400B" w:rsidRPr="009C65BB" w:rsidRDefault="00E9400B" w:rsidP="009C65BB">
      <w:pPr>
        <w:pStyle w:val="a3"/>
        <w:numPr>
          <w:ilvl w:val="0"/>
          <w:numId w:val="9"/>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інші документи, за вимогою Товариства. </w:t>
      </w:r>
    </w:p>
    <w:p w14:paraId="69ABFD09" w14:textId="77777777" w:rsidR="00E9400B" w:rsidRPr="009C65BB" w:rsidRDefault="00E9400B" w:rsidP="009C65BB">
      <w:p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Клієнт фізична особа-підприємець додатково подає:</w:t>
      </w:r>
    </w:p>
    <w:p w14:paraId="061720FC" w14:textId="77777777" w:rsidR="00E9400B" w:rsidRPr="009C65BB" w:rsidRDefault="00E9400B" w:rsidP="009C65BB">
      <w:pPr>
        <w:pStyle w:val="a3"/>
        <w:numPr>
          <w:ilvl w:val="0"/>
          <w:numId w:val="11"/>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копію виписки із Єдиного державного реєстру юридичних та фізичних осіб-підприємців; копію звіту до ДПІ за останній квартал;  </w:t>
      </w:r>
    </w:p>
    <w:p w14:paraId="40590770" w14:textId="77777777" w:rsidR="00E9400B" w:rsidRPr="009C65BB" w:rsidRDefault="00E9400B" w:rsidP="009C65BB">
      <w:pPr>
        <w:pStyle w:val="a3"/>
        <w:numPr>
          <w:ilvl w:val="0"/>
          <w:numId w:val="11"/>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копію документа, що підтверджує взяття фізичної особи – підприємця на облік в органі Державної Податкової Служби; копію документа, що підтверджує реєстрацію фізичної особи – підприємця у відповідному органі Пенсійного фонду України.</w:t>
      </w:r>
    </w:p>
    <w:p w14:paraId="327F2DC1"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eastAsia="Arial Unicode MS" w:hAnsiTheme="minorHAnsi" w:cs="Times New Roman"/>
          <w:color w:val="auto"/>
          <w:sz w:val="20"/>
          <w:szCs w:val="20"/>
          <w:lang w:val="uk-UA"/>
        </w:rPr>
        <w:t>Клієнти</w:t>
      </w:r>
      <w:r w:rsidRPr="009C65BB">
        <w:rPr>
          <w:rFonts w:asciiTheme="minorHAnsi" w:hAnsiTheme="minorHAnsi" w:cs="Times New Roman"/>
          <w:color w:val="auto"/>
          <w:sz w:val="20"/>
          <w:szCs w:val="20"/>
        </w:rPr>
        <w:t xml:space="preserve"> - юридичні особи також для розгляду заявки подають наступні документи:</w:t>
      </w:r>
    </w:p>
    <w:p w14:paraId="540B0553"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засновницькі документи;</w:t>
      </w:r>
    </w:p>
    <w:p w14:paraId="45D8348B"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Виписку з Єдиного державного реєстру юридичних осіб та фізичних осіб-підприємців;</w:t>
      </w:r>
    </w:p>
    <w:p w14:paraId="126487D9"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з Єдиного державного реєстру підприємств та організацій України;</w:t>
      </w:r>
    </w:p>
    <w:p w14:paraId="35BC5105"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4-ОПП;</w:t>
      </w:r>
    </w:p>
    <w:p w14:paraId="147D07B5"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баланс, звіт про фінансові результати за останні 2 роки (поквартально);</w:t>
      </w:r>
    </w:p>
    <w:p w14:paraId="1B9D6AE5"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розшифровка дебіторської та кредиторської заборгованості основних засобів на останню звітну дату;</w:t>
      </w:r>
    </w:p>
    <w:p w14:paraId="011A9941"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про відсутність заборгованості перед бюджетом;</w:t>
      </w:r>
    </w:p>
    <w:p w14:paraId="7475FFB8"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про оберти по відкритих банківських рахунках;</w:t>
      </w:r>
    </w:p>
    <w:p w14:paraId="6DE01D05"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документи (наказ та/або протокол Загальних Зборів), що підтверджують повноваження керівника та головного бухгалтера;</w:t>
      </w:r>
    </w:p>
    <w:p w14:paraId="49C632D7"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про наявність кредитів, поручительств та інших зобов’язань юридичної особи;</w:t>
      </w:r>
    </w:p>
    <w:p w14:paraId="53993CD8"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декларацію про прибуток на останню звітну дату;</w:t>
      </w:r>
    </w:p>
    <w:p w14:paraId="38C00309"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інформацію про предмет діяльності;</w:t>
      </w:r>
    </w:p>
    <w:p w14:paraId="39413E92" w14:textId="77777777" w:rsidR="00E9400B" w:rsidRPr="009C65BB" w:rsidRDefault="00E9400B" w:rsidP="009C65BB">
      <w:pPr>
        <w:pStyle w:val="a3"/>
        <w:numPr>
          <w:ilvl w:val="0"/>
          <w:numId w:val="12"/>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інші документи на вимогу Товариства.</w:t>
      </w:r>
    </w:p>
    <w:p w14:paraId="170A39C3"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hAnsiTheme="minorHAnsi" w:cs="Times New Roman"/>
          <w:color w:val="auto"/>
          <w:sz w:val="20"/>
          <w:szCs w:val="20"/>
          <w:lang w:val="uk-UA"/>
        </w:rPr>
      </w:pPr>
      <w:r w:rsidRPr="009C65BB">
        <w:rPr>
          <w:rFonts w:asciiTheme="minorHAnsi" w:eastAsia="Arial Unicode MS" w:hAnsiTheme="minorHAnsi" w:cs="Times New Roman"/>
          <w:color w:val="auto"/>
          <w:sz w:val="20"/>
          <w:szCs w:val="20"/>
          <w:lang w:val="uk-UA"/>
        </w:rPr>
        <w:t>Оформлення</w:t>
      </w:r>
      <w:r w:rsidRPr="009C65BB">
        <w:rPr>
          <w:rFonts w:asciiTheme="minorHAnsi" w:hAnsiTheme="minorHAnsi" w:cs="Times New Roman"/>
          <w:color w:val="auto"/>
          <w:sz w:val="20"/>
          <w:szCs w:val="20"/>
          <w:lang w:val="uk-UA"/>
        </w:rPr>
        <w:t xml:space="preserve"> Договору поручительства, на підставі прийнятого рішення уповноваженого органу, здійснює відповідальний працівник Товариства, який призначається наказом Директора Товариства. </w:t>
      </w:r>
    </w:p>
    <w:p w14:paraId="7E56B5B1"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eastAsia="Arial Unicode MS" w:hAnsiTheme="minorHAnsi" w:cs="Times New Roman"/>
          <w:color w:val="auto"/>
          <w:sz w:val="20"/>
          <w:szCs w:val="20"/>
          <w:lang w:val="uk-UA"/>
        </w:rPr>
        <w:t>Відповідальний</w:t>
      </w:r>
      <w:r w:rsidRPr="009C65BB">
        <w:rPr>
          <w:rFonts w:asciiTheme="minorHAnsi" w:hAnsiTheme="minorHAnsi" w:cs="Times New Roman"/>
          <w:color w:val="auto"/>
          <w:sz w:val="20"/>
          <w:szCs w:val="20"/>
          <w:lang w:val="uk-UA"/>
        </w:rPr>
        <w:t xml:space="preserve"> працівник Товариства після отримання всіх необхідних</w:t>
      </w:r>
      <w:r w:rsidRPr="009C65BB">
        <w:rPr>
          <w:rFonts w:asciiTheme="minorHAnsi" w:hAnsiTheme="minorHAnsi" w:cs="Times New Roman"/>
          <w:color w:val="auto"/>
          <w:sz w:val="20"/>
          <w:szCs w:val="20"/>
        </w:rPr>
        <w:t xml:space="preserve"> документів: </w:t>
      </w:r>
    </w:p>
    <w:p w14:paraId="5F854EEB"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перевіряє правильність оформлення заяви, а також необхідних довідок та інших документів, пересвідчується у тому, що за Клієнтом немає заборгованості по укладених раніше договорах поручительства чи договорах про надання гарантії; </w:t>
      </w:r>
    </w:p>
    <w:p w14:paraId="183184E2"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визначає платоспроможність Клієнта; </w:t>
      </w:r>
    </w:p>
    <w:p w14:paraId="3EC3A114"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погоджує з Клієнтом спосіб та порядок виконання зобов’язань за основним договором, а також інші питання, пов'язані з Договором поручительства; </w:t>
      </w:r>
    </w:p>
    <w:p w14:paraId="720740F9"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оформлює спільно з Клієнтом Договір поручительства, в тому числі, в разі потреби здійснює дії щодо забезпечення нотаріального посвідчення Договору поручительства;</w:t>
      </w:r>
    </w:p>
    <w:p w14:paraId="1B547FF4"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отримує на всіх примірниках Договору поручительства підпис уповноваженого органу та печатку Товариства, при цьому другий примірник Договору поручительства залишає у себе в справах для наступного контролю за ходом виконання Договору;</w:t>
      </w:r>
    </w:p>
    <w:p w14:paraId="13BD71E9" w14:textId="77777777" w:rsidR="00E9400B" w:rsidRPr="009C65BB" w:rsidRDefault="00E9400B" w:rsidP="009C65BB">
      <w:pPr>
        <w:numPr>
          <w:ilvl w:val="0"/>
          <w:numId w:val="3"/>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передає примірник Договору поручительства Клієнту.</w:t>
      </w:r>
    </w:p>
    <w:p w14:paraId="65C7A8F2" w14:textId="77777777" w:rsidR="00E9400B" w:rsidRPr="009C65BB" w:rsidRDefault="00E9400B" w:rsidP="009C65BB">
      <w:pPr>
        <w:numPr>
          <w:ilvl w:val="1"/>
          <w:numId w:val="2"/>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поручительства повинен, відповідати вимогам чинного законодавства, домовленості Клієнта та Товариства, а також містити наступні істотні умови:</w:t>
      </w:r>
    </w:p>
    <w:p w14:paraId="37A939AF"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назву документа;</w:t>
      </w:r>
      <w:r w:rsidRPr="009C65BB">
        <w:rPr>
          <w:rFonts w:asciiTheme="minorHAnsi" w:hAnsiTheme="minorHAnsi" w:cs="Times New Roman"/>
          <w:color w:val="auto"/>
          <w:sz w:val="20"/>
          <w:szCs w:val="20"/>
        </w:rPr>
        <w:tab/>
      </w:r>
    </w:p>
    <w:p w14:paraId="7216CC62"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назву/найменування, адресу та реквізити Товариства;</w:t>
      </w:r>
    </w:p>
    <w:p w14:paraId="6FABB553"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прізвище, ім’я, по батькові фізичної особи, яка отримує фінансову послугу та її адресу;</w:t>
      </w:r>
    </w:p>
    <w:p w14:paraId="29581662"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найменування, місцезнаходження юридичної особи;</w:t>
      </w:r>
    </w:p>
    <w:p w14:paraId="335F705D"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загальні положення Договору поручительства;</w:t>
      </w:r>
    </w:p>
    <w:p w14:paraId="6F66738D"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найменування фінансової операції - Поручительство;</w:t>
      </w:r>
    </w:p>
    <w:p w14:paraId="486BEB46"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предмет Договору поручительства;</w:t>
      </w:r>
    </w:p>
    <w:p w14:paraId="6F2DAA6D"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відомості про основний договір, за яким надається поручительство;</w:t>
      </w:r>
    </w:p>
    <w:p w14:paraId="45F01B2C"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обсяг відповідальності поручителя за Договором поручительства;</w:t>
      </w:r>
    </w:p>
    <w:p w14:paraId="274F3F54"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розмір фінансового активу, зазначений у грошовому виразі, строки його внесення та умови взаєморозрахунків;</w:t>
      </w:r>
    </w:p>
    <w:p w14:paraId="263D32EA"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права та обов’язки сторін Договору поручительства;</w:t>
      </w:r>
    </w:p>
    <w:p w14:paraId="14D6F3BB" w14:textId="77777777" w:rsidR="00E9400B" w:rsidRPr="009C65BB" w:rsidRDefault="00E9400B" w:rsidP="009C65BB">
      <w:pPr>
        <w:pStyle w:val="a3"/>
        <w:widowControl w:val="0"/>
        <w:numPr>
          <w:ilvl w:val="0"/>
          <w:numId w:val="13"/>
        </w:numPr>
        <w:shd w:val="clear" w:color="auto" w:fill="FFFFFF"/>
        <w:tabs>
          <w:tab w:val="left" w:pos="993"/>
          <w:tab w:val="left" w:pos="1134"/>
        </w:tabs>
        <w:autoSpaceDE w:val="0"/>
        <w:autoSpaceDN w:val="0"/>
        <w:adjustRightInd w:val="0"/>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підтвердження, що інформація, зазначена в частині другій статті 12 Закону України «Про фінансові послуги </w:t>
      </w:r>
      <w:r w:rsidRPr="009C65BB">
        <w:rPr>
          <w:rFonts w:asciiTheme="minorHAnsi" w:hAnsiTheme="minorHAnsi" w:cs="Times New Roman"/>
          <w:color w:val="auto"/>
          <w:sz w:val="20"/>
          <w:szCs w:val="20"/>
        </w:rPr>
        <w:lastRenderedPageBreak/>
        <w:t>та державне регулювання ринків фінансових послуг» надана клієнту;</w:t>
      </w:r>
    </w:p>
    <w:p w14:paraId="155113AB"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відповідальність сторін за невиконання або неналежне виконання умов договору;</w:t>
      </w:r>
    </w:p>
    <w:p w14:paraId="626C4C94"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строк дії Договору поручительства;</w:t>
      </w:r>
    </w:p>
    <w:p w14:paraId="6FC2B237"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порядок зміни та припинення дії Договору поручительства;</w:t>
      </w:r>
    </w:p>
    <w:p w14:paraId="1B3BC9C4" w14:textId="77777777" w:rsidR="00E9400B" w:rsidRPr="009C65BB" w:rsidRDefault="00E9400B" w:rsidP="009C65BB">
      <w:pPr>
        <w:pStyle w:val="a3"/>
        <w:numPr>
          <w:ilvl w:val="0"/>
          <w:numId w:val="13"/>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інші умови за згодою сторін; підписи сторін.</w:t>
      </w:r>
    </w:p>
    <w:p w14:paraId="5FB81953"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поручительства укладається Товариством Клієнтом, з наступним укладенням договору поручительства Кредитором. Вищезазначені документи необхідні від Клієнта (Боржника) також подає Кредитор.</w:t>
      </w:r>
    </w:p>
    <w:p w14:paraId="34B07D0A" w14:textId="77777777" w:rsidR="00E9400B" w:rsidRPr="009C65BB" w:rsidRDefault="00E9400B" w:rsidP="009C65BB">
      <w:pPr>
        <w:numPr>
          <w:ilvl w:val="2"/>
          <w:numId w:val="2"/>
        </w:numPr>
        <w:tabs>
          <w:tab w:val="left" w:pos="851"/>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Кредитор додаткового подає наступні документи:</w:t>
      </w:r>
    </w:p>
    <w:p w14:paraId="71B9B415" w14:textId="77777777" w:rsidR="00E9400B" w:rsidRPr="009C65BB" w:rsidRDefault="00E9400B" w:rsidP="009C65BB">
      <w:pPr>
        <w:pStyle w:val="a3"/>
        <w:numPr>
          <w:ilvl w:val="0"/>
          <w:numId w:val="14"/>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установчі документи;</w:t>
      </w:r>
    </w:p>
    <w:p w14:paraId="7C3E8675" w14:textId="77777777" w:rsidR="00E9400B" w:rsidRPr="009C65BB" w:rsidRDefault="00E9400B" w:rsidP="009C65BB">
      <w:pPr>
        <w:pStyle w:val="a3"/>
        <w:numPr>
          <w:ilvl w:val="0"/>
          <w:numId w:val="14"/>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виписку з Єдиного державного реєстру юридичних осіб та фізичних осіб-підприємців;</w:t>
      </w:r>
    </w:p>
    <w:p w14:paraId="05B92806" w14:textId="77777777" w:rsidR="00E9400B" w:rsidRPr="009C65BB" w:rsidRDefault="00E9400B" w:rsidP="009C65BB">
      <w:pPr>
        <w:pStyle w:val="a3"/>
        <w:numPr>
          <w:ilvl w:val="0"/>
          <w:numId w:val="14"/>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з Єдиного державного реєстру підприємств та організацій України;</w:t>
      </w:r>
    </w:p>
    <w:p w14:paraId="2B4128DA" w14:textId="77777777" w:rsidR="00E9400B" w:rsidRPr="009C65BB" w:rsidRDefault="00E9400B" w:rsidP="009C65BB">
      <w:pPr>
        <w:pStyle w:val="a3"/>
        <w:numPr>
          <w:ilvl w:val="0"/>
          <w:numId w:val="14"/>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довідку 4-ОПП;</w:t>
      </w:r>
    </w:p>
    <w:p w14:paraId="7DC8EF49" w14:textId="77777777" w:rsidR="00E9400B" w:rsidRPr="009C65BB" w:rsidRDefault="00E9400B" w:rsidP="009C65BB">
      <w:pPr>
        <w:pStyle w:val="a3"/>
        <w:numPr>
          <w:ilvl w:val="0"/>
          <w:numId w:val="14"/>
        </w:numPr>
        <w:tabs>
          <w:tab w:val="left" w:pos="993"/>
          <w:tab w:val="left" w:pos="1134"/>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інші документи у разі необхідності.</w:t>
      </w:r>
    </w:p>
    <w:p w14:paraId="2090B749"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укладає декілька двосторонніх Договорів поручительства щодо основного зобов’язання, так Договір поручительств</w:t>
      </w:r>
      <w:r w:rsidRPr="009C65BB">
        <w:rPr>
          <w:rFonts w:asciiTheme="minorHAnsi" w:hAnsiTheme="minorHAnsi" w:cs="Times New Roman"/>
          <w:color w:val="auto"/>
          <w:sz w:val="20"/>
          <w:szCs w:val="20"/>
          <w:lang w:val="ru-RU"/>
        </w:rPr>
        <w:t>а</w:t>
      </w:r>
      <w:r w:rsidRPr="009C65BB">
        <w:rPr>
          <w:rFonts w:asciiTheme="minorHAnsi" w:hAnsiTheme="minorHAnsi" w:cs="Times New Roman"/>
          <w:color w:val="auto"/>
          <w:sz w:val="20"/>
          <w:szCs w:val="20"/>
        </w:rPr>
        <w:t xml:space="preserve"> між Кредитором чи Кредиторами та Товариством щодо поручительства за виконання боржником, та окремого Договору поручительства з Клієнтом (Боржником) чи Клієнтами (Боржниками) щодо поручительства за виконання того самого основного зобов’язання.</w:t>
      </w:r>
    </w:p>
    <w:p w14:paraId="6AD4376B"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також має право укладати тристоронні Договори поручительства. Сторонами такого тристороннього Договору поручительства є Товариство, Кредитор та Клієнт (Боржник). Рішення про укладення такого виду Договору поручительства, залежно від суму на яку укладається Договір, приймається Загальними Зборами Учасників або Директором.</w:t>
      </w:r>
    </w:p>
    <w:p w14:paraId="6A5F0425"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 разі необхідності, Товариство може залучати інші фінансові Товариства, фізичних осіб – підприємців, що мають право надавати такий вид фінансових послуг чи інших юридичних осіб, що не є фінансовими кампаніями, але відповідно до чинного законодавства України мають право надавати такий вид фінансових послуг, для укладення спільного Договору поручительства щодо одного основного зобов’язання. Рішення про укладення такого виду Договору поручительства приймається Загальними Зборами Учасників або Директором.</w:t>
      </w:r>
    </w:p>
    <w:p w14:paraId="5A2EFE72"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укладаючи Договір поручительства, може надавати наступні види поручительства:</w:t>
      </w:r>
    </w:p>
    <w:p w14:paraId="57E430AE" w14:textId="77777777" w:rsidR="00E9400B" w:rsidRPr="009C65BB" w:rsidRDefault="00E9400B" w:rsidP="009C65BB">
      <w:pPr>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поручительство-виконання – полягає у зобов’язанні Товариства виконати обов’язок боржника в натурі, якщо це гроші, або сплатити грошовий еквівалент його обов’язку;</w:t>
      </w:r>
    </w:p>
    <w:p w14:paraId="682C782C" w14:textId="77777777" w:rsidR="00E9400B" w:rsidRPr="009C65BB" w:rsidRDefault="00E9400B" w:rsidP="009C65BB">
      <w:pPr>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поручительство-відповідальність – полягає у зобов’язанні Товариства відшкодувати кредитору лише заподіяні невиконанням збитки, сплатити неустойку, проценти тощо, проте не бере зобов’язання щодо виконання основного обов’язку боржника;</w:t>
      </w:r>
    </w:p>
    <w:p w14:paraId="0D0B1E95" w14:textId="77777777" w:rsidR="00E9400B" w:rsidRPr="009C65BB" w:rsidRDefault="00E9400B" w:rsidP="009C65BB">
      <w:pPr>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обидва види поручительства одночасно.</w:t>
      </w:r>
    </w:p>
    <w:p w14:paraId="7EA0F17F" w14:textId="77777777" w:rsidR="00E9400B" w:rsidRPr="009C65BB" w:rsidRDefault="00E9400B" w:rsidP="009C65BB">
      <w:p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b/>
          <w:color w:val="auto"/>
          <w:sz w:val="20"/>
          <w:szCs w:val="20"/>
        </w:rPr>
      </w:pPr>
    </w:p>
    <w:p w14:paraId="7F5D9E41" w14:textId="77777777" w:rsidR="00E9400B" w:rsidRPr="009C65BB" w:rsidRDefault="00E9400B" w:rsidP="009C65BB">
      <w:pPr>
        <w:widowControl w:val="0"/>
        <w:numPr>
          <w:ilvl w:val="0"/>
          <w:numId w:val="2"/>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ПОРЯДОК ВИКОНАННЯ ДОГОВОРІВ ПОРУЧИТЕЛЬСТВА</w:t>
      </w:r>
    </w:p>
    <w:p w14:paraId="458D0D0A"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поручительства є невід’ємним від основного зобов’язання, таким чином у разі припинення забезпеченого Договором поручительства зобов’язання припиняється Договір поручительства.</w:t>
      </w:r>
    </w:p>
    <w:p w14:paraId="4F3A01FD"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поручительства укладається на умовах незмінності умов основного зобов’язання, таким чином у разі істотної зміни основного зобов’язання без письмової згоди чи без мовчазної згоди Товариства, що призводить до збільшення обсягу його відповідальності, Договір поручительства припиняється.</w:t>
      </w:r>
    </w:p>
    <w:p w14:paraId="7F6B1A14"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Якщо в Договорі поручительства, що укладено від імені Товариства, не визначено обсяг основного зобов’язання на яке видається поручительство вважається, що поручительством забезпечено виконання основного зобов’язання в повному обсязі.</w:t>
      </w:r>
    </w:p>
    <w:p w14:paraId="4AD462EE"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поручительства, що укладається від імені Товариства, є платним. Оплата фінансової послуги з надання фінансового поручительства визначається виходячи з виду та розмірів основного зобов’язання, платоспроможності Клієнта (Боржника), стабільності ринку фінансових послуг, строків настання виконання основного зобов’язання та інших умов, що мають значення при визначені оплати за надані послуги.</w:t>
      </w:r>
    </w:p>
    <w:p w14:paraId="50E4336E"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Під час дії Договору поручительства Товариство має право вимагати від Клієнта (Боржника) чи Кредитора надання звіту про хід виконання зобов’язання, про фінансове становище боржника та зміну у його майновій сфері, що можуть свідчити про потенційну неможливість боржника виконати своє зобов’язання.</w:t>
      </w:r>
    </w:p>
    <w:p w14:paraId="5D95DD2C"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 разі порушення Клієнтом (Боржником) зобов’язання, забезпеченого поручительством Товариство несе виключно субсидіарну відповідальність, яка полягає у тому, що Кредитор має право вимагати виконання від поручителя лише після звернення з відповідною вимогою до Клієнта (Боржника).</w:t>
      </w:r>
    </w:p>
    <w:p w14:paraId="5952D57F"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може укладати Договори поручительства також і на умовах солідарної відповідальності. Рішення по укладення Договору поручительства на умовах солідарної відповідальності Клієнта (Боржника) може прийматися, залежно від суми, Загальними Зборами Учасників або Директором.</w:t>
      </w:r>
    </w:p>
    <w:p w14:paraId="59D55448"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Товариство у разі отримання вимоги про виконання основного зобов’язання або відшкодування збитків пов’язаних з невиконанням основного зобов’язання повинно негайно, але не пізніше ніж 3 робочі дні, </w:t>
      </w:r>
      <w:r w:rsidRPr="009C65BB">
        <w:rPr>
          <w:rFonts w:asciiTheme="minorHAnsi" w:hAnsiTheme="minorHAnsi" w:cs="Times New Roman"/>
          <w:color w:val="auto"/>
          <w:sz w:val="20"/>
          <w:szCs w:val="20"/>
        </w:rPr>
        <w:lastRenderedPageBreak/>
        <w:t>повідомити про це Клієнта (Боржника), а в разі отриманні позову – подати Клопотання про залучення Боржника до участі у справі.</w:t>
      </w:r>
    </w:p>
    <w:p w14:paraId="680F449E"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Товариство зобов’язане виконати своє зобов’язання після підтвердження факту звернення до Клієнта (Боржника) та факту не виконання свого обов’язку Клієнтом (Боржником). </w:t>
      </w:r>
    </w:p>
    <w:p w14:paraId="2CC841E8"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Після виконання Товариством зобов’язання, забезпеченого поручительством, Кредитор передає документи, що підтверджують обов’язок Клієнта (Боржника). На підставі виконання зобов’язання перед Кредитором та переданих документів, що повинні бути визначені в Договорі поручительства, до Товариства переходять права Кредитора в основному зобов’язанні, в тому числі й ті, що забезпечували його виконання.</w:t>
      </w:r>
    </w:p>
    <w:p w14:paraId="19953953"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Клієнт (Боржник) після виконання основного зобов’язання повинен негайно, але не пізніше 3-х робочих днів, повідомити про виконання свого обов’язку.</w:t>
      </w:r>
    </w:p>
    <w:p w14:paraId="0CC4E90A"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у разі виконання зобов'язання, забезпечене поручительством, у зв'язку з не направленням йому Боржником повідомлення про виконання ним свого обов'язку, має право стягнути з кредитора безпідставно одержане або пред'явити зворотну вимогу до боржника.</w:t>
      </w:r>
    </w:p>
    <w:p w14:paraId="792CEDD6"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Поручительство за Договором поручительства припиняється у наступних випадках:</w:t>
      </w:r>
    </w:p>
    <w:p w14:paraId="4BAD1657" w14:textId="77777777" w:rsidR="00E9400B" w:rsidRPr="009C65BB" w:rsidRDefault="00E9400B" w:rsidP="009C65BB">
      <w:pPr>
        <w:widowControl w:val="0"/>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 припиненням забезпеченого нею зобов'язання, а також у разі зміни зобов'язання без згоди Товариства, внаслідок чого збільшується обсяг його відповідальності.</w:t>
      </w:r>
    </w:p>
    <w:p w14:paraId="4A3EDB26" w14:textId="77777777" w:rsidR="00E9400B" w:rsidRPr="009C65BB" w:rsidRDefault="00E9400B" w:rsidP="009C65BB">
      <w:pPr>
        <w:widowControl w:val="0"/>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якщо після настання строку виконання зобов'язання Кредитор відмовився прийняти належне виконання, запропоноване Клієнтом (Боржником) або Товариством.</w:t>
      </w:r>
    </w:p>
    <w:p w14:paraId="686A2EF2" w14:textId="77777777" w:rsidR="00E9400B" w:rsidRPr="009C65BB" w:rsidRDefault="00E9400B" w:rsidP="009C65BB">
      <w:pPr>
        <w:widowControl w:val="0"/>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 разі переведення боргу на іншу особу, якщо поручитель не поручився за нового боржника.</w:t>
      </w:r>
    </w:p>
    <w:p w14:paraId="4C97FA91" w14:textId="77777777" w:rsidR="00E9400B" w:rsidRPr="009C65BB" w:rsidRDefault="00E9400B" w:rsidP="009C65BB">
      <w:pPr>
        <w:widowControl w:val="0"/>
        <w:numPr>
          <w:ilvl w:val="2"/>
          <w:numId w:val="2"/>
        </w:numPr>
        <w:tabs>
          <w:tab w:val="left" w:pos="851"/>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після закінчення строку, встановленого в Договорі поручительства. У разі, якщо такий строк не встановлено, поручительство припиняється, якщо Кредитор протягом шести місяців від дня настання строку виконання основного зобов'язання не пред'явить вимоги до поручителя. Якщо строк основного зобов'язання не встановлений або встановлений моментом пред'явлення вимоги, поручительство припиняється, якщо Кредитор не пред'явить позову до поручителя протягом одного року від дня укладення договору поручительства.</w:t>
      </w:r>
    </w:p>
    <w:p w14:paraId="7D7461CA" w14:textId="77777777" w:rsidR="00E9400B" w:rsidRPr="009C65BB" w:rsidRDefault="00E9400B" w:rsidP="009C65BB">
      <w:p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lang w:val="ru-RU"/>
        </w:rPr>
      </w:pPr>
    </w:p>
    <w:p w14:paraId="74D88FC5" w14:textId="77777777" w:rsidR="00E9400B" w:rsidRPr="009C65BB" w:rsidRDefault="00E9400B" w:rsidP="009C65BB">
      <w:pPr>
        <w:numPr>
          <w:ilvl w:val="0"/>
          <w:numId w:val="2"/>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УМОВИ, ПОРЯДОК ПРИЙНЯТТЯ РІШЕННЯ ТА УКЛАДЕННЯ ДОГОВОРУ ПРО НАДАННЯ ГАРАНТІЇ.</w:t>
      </w:r>
    </w:p>
    <w:p w14:paraId="33106F7B" w14:textId="77777777" w:rsidR="00E9400B" w:rsidRPr="009C65BB" w:rsidRDefault="00E9400B" w:rsidP="009C65BB">
      <w:pPr>
        <w:pStyle w:val="2"/>
        <w:numPr>
          <w:ilvl w:val="1"/>
          <w:numId w:val="2"/>
        </w:numPr>
        <w:tabs>
          <w:tab w:val="left" w:pos="993"/>
          <w:tab w:val="left" w:pos="1134"/>
        </w:tabs>
        <w:spacing w:after="0" w:line="240" w:lineRule="auto"/>
        <w:ind w:left="928" w:hanging="360"/>
        <w:jc w:val="both"/>
        <w:rPr>
          <w:rFonts w:asciiTheme="minorHAnsi" w:eastAsia="Arial Unicode MS" w:hAnsiTheme="minorHAnsi"/>
          <w:sz w:val="20"/>
          <w:szCs w:val="20"/>
          <w:lang w:val="uk-UA"/>
        </w:rPr>
      </w:pPr>
      <w:r w:rsidRPr="009C65BB">
        <w:rPr>
          <w:rFonts w:asciiTheme="minorHAnsi" w:eastAsia="Arial Unicode MS" w:hAnsiTheme="minorHAnsi"/>
          <w:sz w:val="20"/>
          <w:szCs w:val="20"/>
          <w:lang w:val="uk-UA"/>
        </w:rPr>
        <w:t>Надання гарантії здійснюється шляхом укладення Договору про надання гарантії між Товариством та Клієнтом, що укладається тільки в письмовій формі, яким визначаються взаємні зобов'язання та відповідальність Товариства і Клієнта.</w:t>
      </w:r>
    </w:p>
    <w:p w14:paraId="18917F5A" w14:textId="77777777" w:rsidR="00E9400B" w:rsidRPr="009C65BB" w:rsidRDefault="00E9400B" w:rsidP="009C65BB">
      <w:pPr>
        <w:pStyle w:val="HTML"/>
        <w:numPr>
          <w:ilvl w:val="1"/>
          <w:numId w:val="2"/>
        </w:numPr>
        <w:tabs>
          <w:tab w:val="left" w:pos="993"/>
          <w:tab w:val="left" w:pos="1134"/>
        </w:tabs>
        <w:ind w:left="928" w:hanging="360"/>
        <w:jc w:val="both"/>
        <w:rPr>
          <w:rFonts w:asciiTheme="minorHAnsi" w:eastAsia="Arial Unicode MS" w:hAnsiTheme="minorHAnsi" w:cs="Times New Roman"/>
          <w:color w:val="auto"/>
          <w:sz w:val="20"/>
          <w:szCs w:val="20"/>
          <w:lang w:val="uk-UA"/>
        </w:rPr>
      </w:pPr>
      <w:r w:rsidRPr="009C65BB">
        <w:rPr>
          <w:rFonts w:asciiTheme="minorHAnsi" w:eastAsia="Arial Unicode MS" w:hAnsiTheme="minorHAnsi" w:cs="Times New Roman"/>
          <w:color w:val="auto"/>
          <w:sz w:val="20"/>
          <w:szCs w:val="20"/>
          <w:lang w:val="uk-UA"/>
        </w:rPr>
        <w:t>Порядок прийняття рішення уповноваженим органом про укладення Договору про надання гарантії аналогічний порядку прийняття рішення про укладення Договору поручительства (Розділ 3 цих Правил).</w:t>
      </w:r>
    </w:p>
    <w:p w14:paraId="20CF65FB"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про надання гарантії повинен відповідати вимогам чинного законодавства, домовленості Клієнта та Товариства, а також містити наступні істотні умови:</w:t>
      </w:r>
    </w:p>
    <w:p w14:paraId="4F881032"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назву документа – «Договір про надання гарантії»;</w:t>
      </w:r>
      <w:r w:rsidRPr="009C65BB">
        <w:rPr>
          <w:rFonts w:asciiTheme="minorHAnsi" w:hAnsiTheme="minorHAnsi" w:cs="Times New Roman"/>
          <w:color w:val="auto"/>
          <w:sz w:val="20"/>
          <w:szCs w:val="20"/>
        </w:rPr>
        <w:tab/>
      </w:r>
    </w:p>
    <w:p w14:paraId="31E228FA"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найменування, адресу та реквізити Товариства;</w:t>
      </w:r>
    </w:p>
    <w:p w14:paraId="4C4ADE5A"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прізвище, ім’я, по батькові фізичної особи, яка отримує фінансові послуги та її адресу;</w:t>
      </w:r>
    </w:p>
    <w:p w14:paraId="6F41133C"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найменування, місцезнаходження юридичної особи;</w:t>
      </w:r>
    </w:p>
    <w:p w14:paraId="2E8BDE42"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загальні положення Договору про надання гарантії;</w:t>
      </w:r>
    </w:p>
    <w:p w14:paraId="46DA4E63"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найменування фінансової операції;</w:t>
      </w:r>
    </w:p>
    <w:p w14:paraId="3FFDFF96"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предмет Договору про надання гарантії;</w:t>
      </w:r>
    </w:p>
    <w:p w14:paraId="0E42EC3F"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відомості про основний договір, за яким надається гарантія;</w:t>
      </w:r>
    </w:p>
    <w:p w14:paraId="386DDCB1"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розмір фінансового активу, зазначений у грошовому виразі, строки його внесення та умови взаєморозрахунків;</w:t>
      </w:r>
    </w:p>
    <w:p w14:paraId="69B847CB"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права та обов’язки сторін Договору про надання гарантії;</w:t>
      </w:r>
    </w:p>
    <w:p w14:paraId="5DA71A40" w14:textId="77777777" w:rsidR="00E9400B" w:rsidRPr="009C65BB" w:rsidRDefault="00E9400B" w:rsidP="009C65BB">
      <w:pPr>
        <w:pStyle w:val="a3"/>
        <w:widowControl w:val="0"/>
        <w:numPr>
          <w:ilvl w:val="0"/>
          <w:numId w:val="15"/>
        </w:numPr>
        <w:shd w:val="clear" w:color="auto" w:fill="FFFFFF"/>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підтвердження, що інформація, зазначена в частині другій статті 12 Закону України «Про фінансові послуги та державне регулювання ринків фінансових послуг» надана клієнту;</w:t>
      </w:r>
    </w:p>
    <w:p w14:paraId="6EA6EB7A"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відповідальність сторін за невиконання або неналежне виконання умов Договору про надання гарантії;</w:t>
      </w:r>
    </w:p>
    <w:p w14:paraId="14A4AC8C"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строк дії Договору про надання гарантії;</w:t>
      </w:r>
    </w:p>
    <w:p w14:paraId="0C7C28D7"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порядок зміни та припинення дії Договору про надання гарантії;</w:t>
      </w:r>
    </w:p>
    <w:p w14:paraId="12377981"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інші умови за згодою сторін;</w:t>
      </w:r>
    </w:p>
    <w:p w14:paraId="753D0295" w14:textId="77777777" w:rsidR="00E9400B" w:rsidRPr="009C65BB" w:rsidRDefault="00E9400B" w:rsidP="009C65BB">
      <w:pPr>
        <w:pStyle w:val="a3"/>
        <w:numPr>
          <w:ilvl w:val="0"/>
          <w:numId w:val="15"/>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реквізити та підписи сторін.</w:t>
      </w:r>
    </w:p>
    <w:p w14:paraId="4098FB3A"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b/>
          <w:color w:val="auto"/>
          <w:sz w:val="20"/>
          <w:szCs w:val="20"/>
        </w:rPr>
      </w:pPr>
    </w:p>
    <w:p w14:paraId="47EAA587" w14:textId="77777777" w:rsidR="00E9400B" w:rsidRPr="009C65BB" w:rsidRDefault="00E9400B" w:rsidP="009C65BB">
      <w:pPr>
        <w:numPr>
          <w:ilvl w:val="0"/>
          <w:numId w:val="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ПОРЯДОК ВИКОНАННЯ ДОГОВОРІВ ПРО НАДАННЯ ГАРАНТІЇ.</w:t>
      </w:r>
    </w:p>
    <w:p w14:paraId="0FDD147F"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Договір про надання гарантії є незалежним від основного зобов'язання. Таким чином, зобов'язання Товариства перед Кредитором не залежить від основного зобов'язання (його припинення або недійсності), зокрема і тоді, коли в Договорі про надання гарантії міститься посилання на основне зобов'язання.</w:t>
      </w:r>
    </w:p>
    <w:p w14:paraId="2F68078E"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Фінансові послуги з надання гарантії від імені Товариства, є оплатними. Оплата фінансової послуги з надання гарантії визначається виходячи з виду та розмірів основного зобов'язання, платоспроможності </w:t>
      </w:r>
      <w:r w:rsidRPr="009C65BB">
        <w:rPr>
          <w:rFonts w:asciiTheme="minorHAnsi" w:hAnsiTheme="minorHAnsi" w:cs="Times New Roman"/>
          <w:color w:val="auto"/>
          <w:sz w:val="20"/>
          <w:szCs w:val="20"/>
        </w:rPr>
        <w:lastRenderedPageBreak/>
        <w:t>Клієнта (Боржника), стабільності ринку фінансових послуг, строків настання виконання основного зобов'язання та інших умов, що мають значення при визначені оплати за надані послуги.</w:t>
      </w:r>
    </w:p>
    <w:p w14:paraId="44F6AE00"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Гарантія видається на визначений строк. Максимальний строк на який може бути видана гарантія визначається у Договорі про надання гарантії виходячи із виду основного зобов'язання та платоспроможності Клієнта (Боржника).</w:t>
      </w:r>
    </w:p>
    <w:p w14:paraId="467E008E"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загальним правилом Гарантія, що видається від імені Товариства є відкличною, що зазначається у Договорі. Рішення про укладення безвідкличного Договору про надання гарантії приймається залежно від суми або Загальними зборами, або Директором.</w:t>
      </w:r>
    </w:p>
    <w:p w14:paraId="6AE81728"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У разі порушення Клієнтом (Боржником) зобов'язання, забезпеченого гарантією, Товариство зобов'язане сплатити Кредиторові грошову суму відповідно до умов гарантії.</w:t>
      </w:r>
    </w:p>
    <w:p w14:paraId="64CD55FC"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Вимога Кредитора до Товариства про сплату грошової суми відповідно до виданої ним гарантії пред'являється у письмовій формі. До вимоги додаються документи, вказані в Договорі про надання гарантії. У вимозі до гаранта або у доданих до неї документах кредитор повинен вказати, у чому полягає порушення боржником основного зобов'язання, забезпеченого гарантією. Кредитор може пред'явити вимогу до Товариства у межах строку, встановленого у гарантії, на який її видано.</w:t>
      </w:r>
    </w:p>
    <w:p w14:paraId="34689983"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Кредитор не може передавати іншій особі право вимоги до Товариства, якщо інше не встановлено Договором про надання гарантії.</w:t>
      </w:r>
    </w:p>
    <w:p w14:paraId="2BD5FED3"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Після одержання вимоги Кредитора Товариство повинно негайно повідомити про це Клієнта (Боржника) і передати йому копії вимоги разом з доданими до неї документами, але не пізніше ніж 3 робочі дні. Товариство повинно розглянути вимогу Кредитора разом з доданими до неї документами в установлений у Договорі про надання гарантії строк, а у разі його відсутності - в розумний строк і встановити відповідність вимоги та доданих до неї документів умовам гарантії.</w:t>
      </w:r>
    </w:p>
    <w:p w14:paraId="4B9D9C06"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Товариство має право відмовити у задоволені вимог Кредитора у випадку:</w:t>
      </w:r>
    </w:p>
    <w:p w14:paraId="787774EF" w14:textId="77777777" w:rsidR="00E9400B" w:rsidRPr="009C65BB" w:rsidRDefault="00E9400B" w:rsidP="009C65BB">
      <w:pPr>
        <w:pStyle w:val="a3"/>
        <w:numPr>
          <w:ilvl w:val="0"/>
          <w:numId w:val="16"/>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якщо вимога або додані до неї документи не відповідають умовам гарантії або якщо вони подані Товариству після закінчення строку дії гарантії;</w:t>
      </w:r>
    </w:p>
    <w:p w14:paraId="19CDDE1A" w14:textId="77777777" w:rsidR="00E9400B" w:rsidRPr="009C65BB" w:rsidRDefault="00E9400B" w:rsidP="009C65BB">
      <w:pPr>
        <w:pStyle w:val="a3"/>
        <w:numPr>
          <w:ilvl w:val="0"/>
          <w:numId w:val="16"/>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якщо Товариство після пред'явлення до нього вимоги Кредитора дізналося про недійсність основного зобов'язання або про його припинення, він повинен негайно повідомити про це Кредитора і Клієнта (Боржника);</w:t>
      </w:r>
    </w:p>
    <w:p w14:paraId="09CE46DE" w14:textId="77777777" w:rsidR="00E9400B" w:rsidRPr="009C65BB" w:rsidRDefault="00E9400B" w:rsidP="009C65BB">
      <w:pPr>
        <w:pStyle w:val="a3"/>
        <w:numPr>
          <w:ilvl w:val="0"/>
          <w:numId w:val="16"/>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інших випадках передбачених законодавством України.</w:t>
      </w:r>
    </w:p>
    <w:p w14:paraId="498167B3"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Обов'язок Товариства перед кредитором обмежується сплатою суми, па яку видано гарантію.</w:t>
      </w:r>
    </w:p>
    <w:p w14:paraId="04740896" w14:textId="77777777" w:rsidR="00E9400B" w:rsidRPr="009C65BB" w:rsidRDefault="00E9400B" w:rsidP="009C65BB">
      <w:pPr>
        <w:numPr>
          <w:ilvl w:val="1"/>
          <w:numId w:val="2"/>
        </w:numPr>
        <w:tabs>
          <w:tab w:val="left" w:pos="993"/>
          <w:tab w:val="left" w:pos="1134"/>
        </w:tab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Зобов'язання Товариства перед Кредитором припиняється у разі:</w:t>
      </w:r>
    </w:p>
    <w:p w14:paraId="727A0BB3" w14:textId="77777777" w:rsidR="00E9400B" w:rsidRPr="009C65BB" w:rsidRDefault="00E9400B" w:rsidP="009C65BB">
      <w:pPr>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сплати Кредиторові суми, на яку видано гарантію;</w:t>
      </w:r>
    </w:p>
    <w:p w14:paraId="4F1FCE7C" w14:textId="77777777" w:rsidR="00E9400B" w:rsidRPr="009C65BB" w:rsidRDefault="00E9400B" w:rsidP="009C65BB">
      <w:pPr>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закінчення строку дії Договору про надання гарантії;</w:t>
      </w:r>
    </w:p>
    <w:p w14:paraId="124139A6" w14:textId="77777777" w:rsidR="00E9400B" w:rsidRPr="009C65BB" w:rsidRDefault="00E9400B" w:rsidP="009C65BB">
      <w:pPr>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відмови Кредитора від своїх прав за гарантією шляхом повернення її Товариству або шляхом подання Товариству письмової заяви про звільнення його від обов'язків за гарантією.</w:t>
      </w:r>
    </w:p>
    <w:p w14:paraId="6B4D5D89"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p>
    <w:p w14:paraId="120A2E82" w14:textId="77777777" w:rsidR="00E9400B" w:rsidRPr="009C65BB" w:rsidRDefault="00E9400B" w:rsidP="009C65BB">
      <w:pPr>
        <w:numPr>
          <w:ilvl w:val="0"/>
          <w:numId w:val="2"/>
        </w:numPr>
        <w:tabs>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ПОРЯДОК ОБЛІКУ УКЛАДЕНИХ ТА ВИКОНАНИХ ДОГОВОРІВ З НАДАННЯ ПОРУЧИТЕЛЬСТВ ТА ГАРАНТІЙ ТА ПОДАННЯ ЗВІТНОСТІ ДО НАЦІОНАЛЬНОЇ КОМІСІЇ, ЩО ЗДІЙСНЮЄ ДЕРЖАВНЕ РЕГУЛЮВАННЯ РИНКІВ ФІНАНСОВИХ ПОСЛУГ УКРАЇНИ.</w:t>
      </w:r>
    </w:p>
    <w:p w14:paraId="2BA6EDB2" w14:textId="77777777" w:rsidR="00E9400B" w:rsidRPr="009C65BB" w:rsidRDefault="00E9400B" w:rsidP="009C65BB">
      <w:pPr>
        <w:pStyle w:val="1"/>
        <w:numPr>
          <w:ilvl w:val="1"/>
          <w:numId w:val="2"/>
        </w:numPr>
        <w:shd w:val="clear" w:color="auto" w:fill="auto"/>
        <w:tabs>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Товариство має облікову та реєструючу систему договорів з надання поручительств та гарантій, укладених Товариством. Облікова та реєструюча система договорів з надання поручительств та гарантій, укладених Товариством, с</w:t>
      </w:r>
      <w:r w:rsidR="00FB41D3" w:rsidRPr="009C65BB">
        <w:rPr>
          <w:rFonts w:asciiTheme="minorHAnsi" w:hAnsiTheme="minorHAnsi"/>
          <w:b w:val="0"/>
          <w:bCs w:val="0"/>
          <w:sz w:val="20"/>
          <w:szCs w:val="20"/>
        </w:rPr>
        <w:t xml:space="preserve">творюється відповідно до вимог чинного законодавства України. </w:t>
      </w:r>
    </w:p>
    <w:p w14:paraId="3DF98F8B" w14:textId="77777777" w:rsidR="00E9400B" w:rsidRPr="009C65BB" w:rsidRDefault="00E9400B" w:rsidP="009C65BB">
      <w:pPr>
        <w:pStyle w:val="1"/>
        <w:numPr>
          <w:ilvl w:val="1"/>
          <w:numId w:val="2"/>
        </w:numPr>
        <w:shd w:val="clear" w:color="auto" w:fill="auto"/>
        <w:tabs>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Реєстрація договорів з надання поручительств та гарантій здійснюється шляхом ведення Товариством журналу обліку укладених і виконаних договорів з надання поручительств та гарантій (далі - журнал обліку) та карток обліку укладених та виконаних договорів (далі - картка обліку), відомості яких містять інформацію, необхідну для ведення бухгалтерського обліку відповідних фінансово-господарських операцій..</w:t>
      </w:r>
    </w:p>
    <w:p w14:paraId="2A04A515" w14:textId="77777777" w:rsidR="00E9400B" w:rsidRPr="009C65BB" w:rsidRDefault="00E9400B" w:rsidP="009C65BB">
      <w:pPr>
        <w:pStyle w:val="1"/>
        <w:numPr>
          <w:ilvl w:val="1"/>
          <w:numId w:val="2"/>
        </w:numPr>
        <w:shd w:val="clear" w:color="auto" w:fill="auto"/>
        <w:tabs>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Журнал обліку ведеться в хронологічному порядку та містить таку інформацію:</w:t>
      </w:r>
    </w:p>
    <w:p w14:paraId="0F3DEB73"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номер запису за порядком;</w:t>
      </w:r>
    </w:p>
    <w:p w14:paraId="557E65EE"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дату і помер укладеного договору у хронологічному порядку;</w:t>
      </w:r>
    </w:p>
    <w:p w14:paraId="6D193C6A"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найменування юридичної особи (прізвище, ім'я, по батькові фізичної особи) -  клієнта;</w:t>
      </w:r>
    </w:p>
    <w:p w14:paraId="7C2FB05B"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ідентифікаційний код за ЄДРПОУ юридичної особи (ідентифікаційний номер фізичної особи) - клієнта;</w:t>
      </w:r>
    </w:p>
    <w:p w14:paraId="4C8D8B05"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 xml:space="preserve">розмір фінансового активу в грошовому виразі згідно з умовами договору з надання поручительств та гарантій та дату зарахування (перерахування) фінансового активу на поточний рахунок Товариства; </w:t>
      </w:r>
    </w:p>
    <w:p w14:paraId="6D1B114F" w14:textId="77777777" w:rsidR="00E9400B" w:rsidRPr="009C65BB" w:rsidRDefault="00E9400B" w:rsidP="009C65BB">
      <w:pPr>
        <w:pStyle w:val="210"/>
        <w:numPr>
          <w:ilvl w:val="0"/>
          <w:numId w:val="5"/>
        </w:numPr>
        <w:shd w:val="clear" w:color="auto" w:fill="auto"/>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28"/>
        <w:jc w:val="both"/>
        <w:rPr>
          <w:rFonts w:asciiTheme="minorHAnsi" w:hAnsiTheme="minorHAnsi"/>
          <w:b w:val="0"/>
          <w:bCs w:val="0"/>
          <w:i w:val="0"/>
          <w:sz w:val="20"/>
          <w:szCs w:val="20"/>
        </w:rPr>
      </w:pPr>
      <w:r w:rsidRPr="009C65BB">
        <w:rPr>
          <w:rFonts w:asciiTheme="minorHAnsi" w:hAnsiTheme="minorHAnsi"/>
          <w:b w:val="0"/>
          <w:bCs w:val="0"/>
          <w:i w:val="0"/>
          <w:sz w:val="20"/>
          <w:szCs w:val="20"/>
        </w:rPr>
        <w:t>дату закінчення строку дії договору (дату анулювання або припинення дії договору).</w:t>
      </w:r>
    </w:p>
    <w:p w14:paraId="42740361" w14:textId="77777777" w:rsidR="00E9400B" w:rsidRPr="009C65BB" w:rsidRDefault="00E9400B" w:rsidP="009C65BB">
      <w:pPr>
        <w:pStyle w:val="1"/>
        <w:numPr>
          <w:ilvl w:val="1"/>
          <w:numId w:val="2"/>
        </w:numPr>
        <w:shd w:val="clear" w:color="auto" w:fill="auto"/>
        <w:tabs>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Картки обліку виконання договорів містять: </w:t>
      </w:r>
    </w:p>
    <w:p w14:paraId="77B2677E"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номер картки; </w:t>
      </w:r>
    </w:p>
    <w:p w14:paraId="12394303"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дату укладення та строк дії договору; </w:t>
      </w:r>
    </w:p>
    <w:p w14:paraId="39CC95D8"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найменування юридичної особи (прізвище, ім'я, по батькові фізичної особи) - клієнта; </w:t>
      </w:r>
    </w:p>
    <w:p w14:paraId="789D4B71"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ідентифікаційний код за ЄДРПОУ юридичної особи (ідентифікаційний номер фізичної особи) - клієнта; </w:t>
      </w:r>
    </w:p>
    <w:p w14:paraId="4564354C"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вид фінансового активу, який є предметом договору; </w:t>
      </w:r>
    </w:p>
    <w:p w14:paraId="305D7934"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lastRenderedPageBreak/>
        <w:t xml:space="preserve">відомості про отримані (видані) грошові кошти та/або фінансові активи, а саме: </w:t>
      </w:r>
    </w:p>
    <w:p w14:paraId="0CFF9C81"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дату отримання (видачі) грошових коштів та/або фінансових активів; </w:t>
      </w:r>
    </w:p>
    <w:p w14:paraId="4523C7D2"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суму грошових коштів та/або розмір фінансових активів згідно з договором; </w:t>
      </w:r>
    </w:p>
    <w:p w14:paraId="08B59DA8"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суму винагороди; </w:t>
      </w:r>
    </w:p>
    <w:p w14:paraId="3A6DEBC1"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суму інших нарахувань згідно з умовами договору; </w:t>
      </w:r>
    </w:p>
    <w:p w14:paraId="25FA2E05"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 xml:space="preserve">загальну суму та/або розмір фінансових активів, одержаних на дату заповнення картки; </w:t>
      </w:r>
    </w:p>
    <w:p w14:paraId="09C446AB" w14:textId="77777777" w:rsidR="00E9400B" w:rsidRPr="009C65BB" w:rsidRDefault="00E9400B" w:rsidP="009C65BB">
      <w:pPr>
        <w:pStyle w:val="1"/>
        <w:numPr>
          <w:ilvl w:val="0"/>
          <w:numId w:val="17"/>
        </w:numPr>
        <w:tabs>
          <w:tab w:val="left" w:pos="851"/>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графік отримання грошових коштів від клієнта за умови, що договором про надання фінансових послуг передбачений обов'язок клієнта здійснювати передання грошових коштів Товариству за графіком;</w:t>
      </w:r>
    </w:p>
    <w:p w14:paraId="49D7C139" w14:textId="77777777" w:rsidR="00E9400B" w:rsidRPr="009C65BB" w:rsidRDefault="00E9400B" w:rsidP="009C65BB">
      <w:pPr>
        <w:pStyle w:val="1"/>
        <w:numPr>
          <w:ilvl w:val="0"/>
          <w:numId w:val="6"/>
        </w:numPr>
        <w:tabs>
          <w:tab w:val="left" w:pos="709"/>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реквізити документа(ів), який(і) підтверджує(ють) виконання зобов'язань сторін за договором послугу з надання поручительств та гарантій (дата та номер платіжного документа, акт виконаних робіт тощо).</w:t>
      </w:r>
    </w:p>
    <w:p w14:paraId="751C7CE6" w14:textId="77777777" w:rsidR="00E9400B" w:rsidRPr="009C65BB" w:rsidRDefault="00E9400B" w:rsidP="009C65BB">
      <w:pPr>
        <w:pStyle w:val="1"/>
        <w:numPr>
          <w:ilvl w:val="1"/>
          <w:numId w:val="2"/>
        </w:numPr>
        <w:shd w:val="clear" w:color="auto" w:fill="auto"/>
        <w:tabs>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У разі необхідності Товариство може доповнити журнал та картки обліку виконання договорів додатковою інформацією, крім визначеної у пунктах 7.3 та 7.4 цих Правил.</w:t>
      </w:r>
    </w:p>
    <w:p w14:paraId="60F0718C"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Журнал обліку та картки обліку укладених та виконаних договорів в електронному вигляді ведуться Товариством з обов'язковою можливістю роздрукування у будь-який час на вимогу державних органів в межах їх повноважень. Товариство зберігає інформацію журналу та карток обліку виконання договорів в електронному вигляді таким чином, щоб забезпечити можливість відновлення втраченої інформації у разі виникнення будь-яких обставин непереборної сили.</w:t>
      </w:r>
    </w:p>
    <w:p w14:paraId="0340FA94"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Облікова та реєструюча система Товариства забезпечує формування інформації та складання звітності Товариства.</w:t>
      </w:r>
    </w:p>
    <w:p w14:paraId="6ED9B6C3"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b/>
          <w:color w:val="auto"/>
          <w:sz w:val="20"/>
          <w:szCs w:val="20"/>
        </w:rPr>
      </w:pPr>
    </w:p>
    <w:p w14:paraId="31453D1F" w14:textId="77777777" w:rsidR="00E9400B" w:rsidRPr="009C65BB" w:rsidRDefault="00E9400B" w:rsidP="009C65BB">
      <w:pPr>
        <w:numPr>
          <w:ilvl w:val="0"/>
          <w:numId w:val="2"/>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 xml:space="preserve">ПОРЯДОК ЗБЕРІГАННЯ ДОГОВОРІВ ТА ІНШИХ ДОКУМЕНТІВ, </w:t>
      </w:r>
    </w:p>
    <w:p w14:paraId="4846966B"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ПОВ'ЯЗАНИХ З НАДАННЯМ ФІНАНСОВИХ ПОСЛУГ.</w:t>
      </w:r>
    </w:p>
    <w:p w14:paraId="57055DA3"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Договори про надання поручительств та гарантій зберігаються окремо від інших договорів Товариства протягом п'яти років після виконання взаємних зобов'язань сторін договору або відмови від договору за згодою сторін, крім випадків, передбачених законодавством. У разі наявності додатків до договорів вони зберігаються разом з відповідними договорами. Про виконання взаємних зобов'язань сторін за договором складається акт виконаних робіт, який підписується всіма сторонами договору.</w:t>
      </w:r>
    </w:p>
    <w:p w14:paraId="03E61D18"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Усі укладені договори та інші документи зберігаються у металевій шафі. Опрацювання документів, передачу їх в архів та зберігання архівних документів проводить відповідальний працівник. </w:t>
      </w:r>
    </w:p>
    <w:p w14:paraId="2DF6E442"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Документи, створені за допомогою персонального комп’ютера, зберігаються на загальних підставах. </w:t>
      </w:r>
    </w:p>
    <w:p w14:paraId="739F76D7"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Видача договорів (їхніх копій) у тимчасове користування стороннім особам та установам здійснюється з дозволу керівництва Товариства. На видану справу заводиться картка-замінник справи та/або робиться запис у відповідному журналі, у якій зазначається підрозділ Товариства, яким було укладено договір, номер договору, дата його укладення, а також кому видана справа, дата її повернення. </w:t>
      </w:r>
    </w:p>
    <w:p w14:paraId="479EFF28"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Вилучення документа із справи постійного зберігання забороняється. У виняткових випадках вилучення договору допускається з дозволу Директора з обов’язковим залишенням у справі завіреної копії договору.</w:t>
      </w:r>
    </w:p>
    <w:p w14:paraId="39AF6E7C"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Договори про надання поручительств та гарантій групуються у справи після закінчення діловодного року. Справи постійного і тривалого строків зберігання підлягають такому оформленню: підшивання в обкладинку з твердого картону, нумерація аркушів у справі; складання підсумкового напису; складання (у разі необхідності) внутрішнього опису документів; оформлення обкладинки справи. </w:t>
      </w:r>
    </w:p>
    <w:p w14:paraId="1A2E536E"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Договори тимчасового зберігання, сформовані у справи, не підшиваються, аркуші не нумеруються, уточнення елементів оформлення обкладинки не здійснюється.</w:t>
      </w:r>
    </w:p>
    <w:p w14:paraId="7E436844" w14:textId="77777777" w:rsidR="00E9400B" w:rsidRPr="009C65BB" w:rsidRDefault="00E9400B" w:rsidP="009C65BB">
      <w:pPr>
        <w:pStyle w:val="1"/>
        <w:numPr>
          <w:ilvl w:val="1"/>
          <w:numId w:val="2"/>
        </w:numPr>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Визначення документів для знищення і складання провадиться після підготовки описів справ постійного і тривалого зберігання за цей же період; акти про видалення документів для знищення, що не підлягають зберіганню, розглядаються керівником одночасно з описами справ.  </w:t>
      </w:r>
    </w:p>
    <w:p w14:paraId="7B03F994" w14:textId="77777777" w:rsidR="00FB41D3" w:rsidRPr="009C65BB" w:rsidRDefault="00FB41D3" w:rsidP="009C65BB">
      <w:pPr>
        <w:pStyle w:val="1"/>
        <w:shd w:val="clear" w:color="auto" w:fill="auto"/>
        <w:tabs>
          <w:tab w:val="left" w:pos="622"/>
          <w:tab w:val="left" w:pos="993"/>
          <w:tab w:val="left" w:pos="1134"/>
        </w:tabs>
        <w:spacing w:line="240" w:lineRule="auto"/>
        <w:ind w:left="928" w:hanging="360"/>
        <w:rPr>
          <w:rFonts w:asciiTheme="minorHAnsi" w:hAnsiTheme="minorHAnsi"/>
          <w:b w:val="0"/>
          <w:bCs w:val="0"/>
          <w:sz w:val="20"/>
          <w:szCs w:val="20"/>
        </w:rPr>
      </w:pPr>
    </w:p>
    <w:p w14:paraId="628A8CCA" w14:textId="77777777" w:rsidR="00E9400B" w:rsidRPr="009C65BB" w:rsidRDefault="00E9400B" w:rsidP="009C65BB">
      <w:pPr>
        <w:pStyle w:val="a3"/>
        <w:numPr>
          <w:ilvl w:val="0"/>
          <w:numId w:val="29"/>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ПОРЯДОК ДОСТУПУ ДО ДОКУМЕНТІВ ТА ІНШОЇ ІНФОРМАЦІЇ,</w:t>
      </w:r>
    </w:p>
    <w:p w14:paraId="7847FC1E"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ПОВ’ЯЗАНОЇ З НАДАНН</w:t>
      </w:r>
      <w:r w:rsidR="00FB41D3" w:rsidRPr="009C65BB">
        <w:rPr>
          <w:rFonts w:asciiTheme="minorHAnsi" w:hAnsiTheme="minorHAnsi" w:cs="Times New Roman"/>
          <w:b/>
          <w:color w:val="auto"/>
          <w:sz w:val="20"/>
          <w:szCs w:val="20"/>
        </w:rPr>
        <w:t>ЯМ ФІНАНСОВИХ ПОСЛУГ, ТА СИСТЕМА</w:t>
      </w:r>
      <w:r w:rsidRPr="009C65BB">
        <w:rPr>
          <w:rFonts w:asciiTheme="minorHAnsi" w:hAnsiTheme="minorHAnsi" w:cs="Times New Roman"/>
          <w:b/>
          <w:color w:val="auto"/>
          <w:sz w:val="20"/>
          <w:szCs w:val="20"/>
        </w:rPr>
        <w:t xml:space="preserve"> ЗАХИСТУ ІНФОРМАЦІЇ.</w:t>
      </w:r>
    </w:p>
    <w:p w14:paraId="7CA009D3" w14:textId="5A02A97B" w:rsidR="00E9400B" w:rsidRPr="009C65BB" w:rsidRDefault="00E9400B" w:rsidP="009C65BB">
      <w:pPr>
        <w:pStyle w:val="1"/>
        <w:numPr>
          <w:ilvl w:val="1"/>
          <w:numId w:val="30"/>
        </w:numPr>
        <w:shd w:val="clear" w:color="auto" w:fill="auto"/>
        <w:tabs>
          <w:tab w:val="left" w:pos="622"/>
          <w:tab w:val="left" w:pos="993"/>
          <w:tab w:val="left" w:pos="1134"/>
        </w:tab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Доступ та використання документів та іншої інформації в паперовому вигляді та електронному вигляді в Товаристві здійснюється відповідно до наступного порядку:</w:t>
      </w:r>
    </w:p>
    <w:p w14:paraId="22A5D878" w14:textId="7512CAA9" w:rsidR="00E9400B" w:rsidRPr="009C65BB" w:rsidRDefault="00E9400B" w:rsidP="000C6480">
      <w:pPr>
        <w:pStyle w:val="1"/>
        <w:numPr>
          <w:ilvl w:val="1"/>
          <w:numId w:val="30"/>
        </w:numPr>
        <w:shd w:val="clear" w:color="auto" w:fill="auto"/>
        <w:tabs>
          <w:tab w:val="left" w:pos="622"/>
          <w:tab w:val="left" w:pos="993"/>
          <w:tab w:val="left" w:pos="1134"/>
        </w:tabs>
        <w:spacing w:line="240" w:lineRule="auto"/>
        <w:rPr>
          <w:rFonts w:asciiTheme="minorHAnsi" w:hAnsiTheme="minorHAnsi"/>
          <w:b w:val="0"/>
          <w:bCs w:val="0"/>
          <w:sz w:val="20"/>
          <w:szCs w:val="20"/>
        </w:rPr>
      </w:pPr>
      <w:r w:rsidRPr="009C65BB">
        <w:rPr>
          <w:rFonts w:asciiTheme="minorHAnsi" w:hAnsiTheme="minorHAnsi"/>
          <w:b w:val="0"/>
          <w:bCs w:val="0"/>
          <w:sz w:val="20"/>
          <w:szCs w:val="20"/>
        </w:rPr>
        <w:t>Окремі документи Товариства використовуються в роботі лише тих структурних підрозділів Товариства, які уповноважені здійснювати користування такими документами відповідно до своїх функціональних (службових) обов’язків на підставі відповідних статутних документів Товариства та відповідно до своїх службових обов’язків;</w:t>
      </w:r>
    </w:p>
    <w:p w14:paraId="4F6E2DF6"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sz w:val="20"/>
          <w:szCs w:val="20"/>
          <w:lang w:val="ru-RU"/>
        </w:rPr>
      </w:pPr>
      <w:r w:rsidRPr="009C65BB">
        <w:rPr>
          <w:rFonts w:asciiTheme="minorHAnsi" w:hAnsiTheme="minorHAnsi"/>
          <w:b w:val="0"/>
          <w:bCs w:val="0"/>
          <w:sz w:val="20"/>
          <w:szCs w:val="20"/>
        </w:rPr>
        <w:t>До документів з обмеженим доступом відносяться наступні документи, які не підлягають опублікуванню</w:t>
      </w:r>
      <w:r w:rsidRPr="009C65BB">
        <w:rPr>
          <w:rFonts w:asciiTheme="minorHAnsi" w:hAnsiTheme="minorHAnsi"/>
          <w:sz w:val="20"/>
          <w:szCs w:val="20"/>
        </w:rPr>
        <w:t xml:space="preserve"> </w:t>
      </w:r>
      <w:r w:rsidRPr="009C65BB">
        <w:rPr>
          <w:rFonts w:asciiTheme="minorHAnsi" w:hAnsiTheme="minorHAnsi"/>
          <w:b w:val="0"/>
          <w:sz w:val="20"/>
          <w:szCs w:val="20"/>
        </w:rPr>
        <w:t>та публічному поширенню:</w:t>
      </w:r>
      <w:r w:rsidRPr="009C65BB">
        <w:rPr>
          <w:rFonts w:asciiTheme="minorHAnsi" w:hAnsiTheme="minorHAnsi"/>
          <w:sz w:val="20"/>
          <w:szCs w:val="20"/>
        </w:rPr>
        <w:t xml:space="preserve"> </w:t>
      </w:r>
    </w:p>
    <w:p w14:paraId="50E62350"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Протоколи засідань ревізійної комісії;</w:t>
      </w:r>
    </w:p>
    <w:p w14:paraId="27E591F3"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Рішення посадової особи про надання фінансової послуги;</w:t>
      </w:r>
    </w:p>
    <w:p w14:paraId="2D1CE19C"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 xml:space="preserve">Звітність до органів державної влади за винятком інформації, яка підлягає опублікуванню, відповідно до вимог чинного законодавства;  </w:t>
      </w:r>
    </w:p>
    <w:p w14:paraId="4807D857"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Договори з клієнтами Товариства та їх особові справи;</w:t>
      </w:r>
    </w:p>
    <w:p w14:paraId="7003640F"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lastRenderedPageBreak/>
        <w:t xml:space="preserve">Кадрові документи; </w:t>
      </w:r>
    </w:p>
    <w:p w14:paraId="4D228737"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Вхідна та вихідна кореспонденція Товариства;</w:t>
      </w:r>
    </w:p>
    <w:p w14:paraId="40AA14E2" w14:textId="77777777" w:rsidR="00E9400B" w:rsidRPr="009C65BB" w:rsidRDefault="00E9400B" w:rsidP="009C65BB">
      <w:pPr>
        <w:pStyle w:val="a3"/>
        <w:numPr>
          <w:ilvl w:val="0"/>
          <w:numId w:val="18"/>
        </w:numPr>
        <w:shd w:val="clear" w:color="auto" w:fill="FFFFFF"/>
        <w:tabs>
          <w:tab w:val="left" w:pos="993"/>
          <w:tab w:val="left" w:pos="1134"/>
          <w:tab w:val="left" w:pos="1276"/>
          <w:tab w:val="left" w:pos="1418"/>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Документи по фінансовому моніторингу відповідно до окремих внутрішніх положень і документів Товариства.</w:t>
      </w:r>
    </w:p>
    <w:p w14:paraId="57EFFC04"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eastAsia="Times New Roman" w:hAnsiTheme="minorHAnsi"/>
          <w:b w:val="0"/>
          <w:bCs w:val="0"/>
          <w:sz w:val="20"/>
          <w:szCs w:val="20"/>
        </w:rPr>
      </w:pPr>
      <w:r w:rsidRPr="009C65BB">
        <w:rPr>
          <w:rFonts w:asciiTheme="minorHAnsi" w:hAnsiTheme="minorHAnsi"/>
          <w:b w:val="0"/>
          <w:sz w:val="20"/>
          <w:szCs w:val="20"/>
        </w:rPr>
        <w:t xml:space="preserve">Документи з обмеженим доступом, що зберігаються в Товаристві, видаються виконавцям для тимчасового користування тільки у приміщення Товариства. Документи Товариства з обмеженим </w:t>
      </w:r>
      <w:r w:rsidRPr="009C65BB">
        <w:rPr>
          <w:rFonts w:asciiTheme="minorHAnsi" w:hAnsiTheme="minorHAnsi"/>
          <w:b w:val="0"/>
          <w:bCs w:val="0"/>
          <w:sz w:val="20"/>
          <w:szCs w:val="20"/>
        </w:rPr>
        <w:t>доступом</w:t>
      </w:r>
      <w:r w:rsidRPr="009C65BB">
        <w:rPr>
          <w:rFonts w:asciiTheme="minorHAnsi" w:hAnsiTheme="minorHAnsi"/>
          <w:b w:val="0"/>
          <w:sz w:val="20"/>
          <w:szCs w:val="20"/>
        </w:rPr>
        <w:t xml:space="preserve"> надаються у тимчасове користування тільки таким стороннім особам, які є повноважними представниками компетентних органів державної влади з дотриманням вимог законодавства. На видану справу заводиться картка-замінник справи, у якій зазначається номер справи, </w:t>
      </w:r>
      <w:r w:rsidRPr="009C65BB">
        <w:rPr>
          <w:rFonts w:asciiTheme="minorHAnsi" w:hAnsiTheme="minorHAnsi"/>
          <w:b w:val="0"/>
          <w:bCs w:val="0"/>
          <w:sz w:val="20"/>
          <w:szCs w:val="20"/>
        </w:rPr>
        <w:t xml:space="preserve">підрозділ Товариства, яким було укладено договір, номер договору, дата його укладення, а також кому видана справа, дата її повернення. </w:t>
      </w:r>
    </w:p>
    <w:p w14:paraId="2CA3FE18"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b w:val="0"/>
          <w:sz w:val="20"/>
          <w:szCs w:val="20"/>
        </w:rPr>
      </w:pPr>
      <w:r w:rsidRPr="009C65BB">
        <w:rPr>
          <w:rFonts w:asciiTheme="minorHAnsi" w:hAnsiTheme="minorHAnsi"/>
          <w:b w:val="0"/>
          <w:sz w:val="20"/>
          <w:szCs w:val="20"/>
        </w:rPr>
        <w:t xml:space="preserve">Всі документи повинні знаходиться в приміщення, а випадках, передбачених законодавством, - у сейфі, що унеможливлює їх викрадення, псування або знищення. </w:t>
      </w:r>
    </w:p>
    <w:p w14:paraId="2A57B3FD"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b w:val="0"/>
          <w:sz w:val="20"/>
          <w:szCs w:val="20"/>
        </w:rPr>
      </w:pPr>
      <w:r w:rsidRPr="009C65BB">
        <w:rPr>
          <w:rFonts w:asciiTheme="minorHAnsi" w:hAnsiTheme="minorHAnsi"/>
          <w:b w:val="0"/>
          <w:sz w:val="20"/>
          <w:szCs w:val="20"/>
        </w:rPr>
        <w:t>До службової інформації відноситься будь-яка інформація про укладені договори про надання фінансових послуг або інформація, пов’язана із розглядом документів щодо надання фінансових послуг, наявна у Товаристві, що не є загальнодоступною, і яка ставить осіб, що володіють такою інформацією в силу свого службового становища, трудових обов'язків або договору, укладеного з Товариством, у переважне становище в порівнянні з іншими особами (далі - службова інформація).</w:t>
      </w:r>
    </w:p>
    <w:p w14:paraId="01A0BF84"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sz w:val="20"/>
          <w:szCs w:val="20"/>
        </w:rPr>
      </w:pPr>
      <w:r w:rsidRPr="009C65BB">
        <w:rPr>
          <w:rFonts w:asciiTheme="minorHAnsi" w:hAnsiTheme="minorHAnsi"/>
          <w:b w:val="0"/>
          <w:sz w:val="20"/>
          <w:szCs w:val="20"/>
        </w:rPr>
        <w:t>Особи, що володіють службовою інформацією, пов’язаною із наданням фінансової послуги, не мають права</w:t>
      </w:r>
      <w:r w:rsidRPr="009C65BB">
        <w:rPr>
          <w:rFonts w:asciiTheme="minorHAnsi" w:hAnsiTheme="minorHAnsi"/>
          <w:sz w:val="20"/>
          <w:szCs w:val="20"/>
        </w:rPr>
        <w:t xml:space="preserve"> </w:t>
      </w:r>
      <w:r w:rsidRPr="009C65BB">
        <w:rPr>
          <w:rFonts w:asciiTheme="minorHAnsi" w:hAnsiTheme="minorHAnsi"/>
          <w:b w:val="0"/>
          <w:sz w:val="20"/>
          <w:szCs w:val="20"/>
        </w:rPr>
        <w:t>передавати її третім особам.</w:t>
      </w:r>
    </w:p>
    <w:p w14:paraId="0EDFCCD3"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b w:val="0"/>
          <w:sz w:val="20"/>
          <w:szCs w:val="20"/>
        </w:rPr>
      </w:pPr>
      <w:r w:rsidRPr="009C65BB">
        <w:rPr>
          <w:rFonts w:asciiTheme="minorHAnsi" w:hAnsiTheme="minorHAnsi"/>
          <w:b w:val="0"/>
          <w:sz w:val="20"/>
          <w:szCs w:val="20"/>
        </w:rPr>
        <w:t>Порядок роботи зі службовою інформацією, яка відноситься до відомостей конфіденційного характеру, регламентується на підставі розпоряджень Керівника Товариства та здійснюється у відповідності до Статуту Товариства та чинного законодавства України.</w:t>
      </w:r>
    </w:p>
    <w:p w14:paraId="3AC17207"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b w:val="0"/>
          <w:sz w:val="20"/>
          <w:szCs w:val="20"/>
        </w:rPr>
      </w:pPr>
      <w:r w:rsidRPr="009C65BB">
        <w:rPr>
          <w:rFonts w:asciiTheme="minorHAnsi" w:hAnsiTheme="minorHAnsi"/>
          <w:b w:val="0"/>
          <w:sz w:val="20"/>
          <w:szCs w:val="20"/>
        </w:rPr>
        <w:t>Співробітники (посадовці) Товариства не мають права використовувати в особистих цілях і/або передавати не уповноваженим на те особам службову інформацію.</w:t>
      </w:r>
    </w:p>
    <w:p w14:paraId="2A403E70" w14:textId="77777777" w:rsidR="00E9400B" w:rsidRPr="009C65BB" w:rsidRDefault="00E9400B" w:rsidP="000C6480">
      <w:pPr>
        <w:pStyle w:val="1"/>
        <w:numPr>
          <w:ilvl w:val="1"/>
          <w:numId w:val="30"/>
        </w:numPr>
        <w:shd w:val="clear" w:color="auto" w:fill="auto"/>
        <w:tabs>
          <w:tab w:val="left" w:pos="622"/>
          <w:tab w:val="left" w:pos="993"/>
          <w:tab w:val="left" w:pos="1134"/>
        </w:tabs>
        <w:spacing w:line="240" w:lineRule="auto"/>
        <w:ind w:left="928"/>
        <w:rPr>
          <w:rFonts w:asciiTheme="minorHAnsi" w:hAnsiTheme="minorHAnsi"/>
          <w:sz w:val="20"/>
          <w:szCs w:val="20"/>
        </w:rPr>
      </w:pPr>
      <w:r w:rsidRPr="009C65BB">
        <w:rPr>
          <w:rFonts w:asciiTheme="minorHAnsi" w:hAnsiTheme="minorHAnsi"/>
          <w:b w:val="0"/>
          <w:sz w:val="20"/>
          <w:szCs w:val="20"/>
        </w:rPr>
        <w:t>Процедура захисту робочих місць співробітників Товариства і місць зберігання документів, що містять службову інформацію, від безперешкодного доступу, спостереження й неправомірного</w:t>
      </w:r>
      <w:r w:rsidRPr="009C65BB">
        <w:rPr>
          <w:rFonts w:asciiTheme="minorHAnsi" w:hAnsiTheme="minorHAnsi"/>
          <w:sz w:val="20"/>
          <w:szCs w:val="20"/>
        </w:rPr>
        <w:t xml:space="preserve"> </w:t>
      </w:r>
      <w:r w:rsidRPr="009C65BB">
        <w:rPr>
          <w:rFonts w:asciiTheme="minorHAnsi" w:hAnsiTheme="minorHAnsi"/>
          <w:b w:val="0"/>
          <w:sz w:val="20"/>
          <w:szCs w:val="20"/>
        </w:rPr>
        <w:t>використання, передбачає наступні заходи:</w:t>
      </w:r>
    </w:p>
    <w:p w14:paraId="7DA82035"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розміщення робочих місць співробітників Товариства таким чином, щоб виключити можливість несанкціонованого перегляду документів і інформації, відбитої на екранах моніторів;</w:t>
      </w:r>
    </w:p>
    <w:p w14:paraId="35E88312"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використання надійних систем захисту службової інформації від неправомірного використання, що охороняють від втрати інформації, витоку службової інформації;</w:t>
      </w:r>
    </w:p>
    <w:p w14:paraId="33F92015"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розміщення документів, що містять службову інформацію, у режимних приміщеннях, доступ у які обмежений технічними засобами;</w:t>
      </w:r>
    </w:p>
    <w:p w14:paraId="77509799"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використання процедури здачі й приймання під охорону режимних приміщень по закінченню робочого дня, а також використання для цього технічних засобів контролю доступу;</w:t>
      </w:r>
    </w:p>
    <w:p w14:paraId="69D4BDD8"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зберігання документів, що містять службову інформацію, у сейфах, шафах (як правило, металевих), файл-боксах або в спеціально обладнаних приміщеннях, що виключають несанкціонований доступ до службової інформації і її неправомірне використання;</w:t>
      </w:r>
    </w:p>
    <w:p w14:paraId="2183EBA6"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регулярне проведення перевірок дотримання заходів, що забезпечують конфіденційність діловодства, у тому числі місць зберігання документів, що містять службову інформацію;</w:t>
      </w:r>
    </w:p>
    <w:p w14:paraId="5CF41386"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доставка документів, що містять службову інформацію засобами, що мінімізують несанкціонований доступ до неї і її неправомірне використання;</w:t>
      </w:r>
    </w:p>
    <w:p w14:paraId="1A9DDBD1" w14:textId="77777777" w:rsidR="00E9400B" w:rsidRPr="009C65BB" w:rsidRDefault="00E9400B" w:rsidP="009C65BB">
      <w:pPr>
        <w:pStyle w:val="a3"/>
        <w:numPr>
          <w:ilvl w:val="0"/>
          <w:numId w:val="19"/>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укладення договорів про нерозголошення конфіденційної інформації.</w:t>
      </w:r>
    </w:p>
    <w:p w14:paraId="35069620" w14:textId="77777777" w:rsidR="00E9400B" w:rsidRPr="009C65BB" w:rsidRDefault="00E9400B" w:rsidP="000C6480">
      <w:pPr>
        <w:numPr>
          <w:ilvl w:val="1"/>
          <w:numId w:val="3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Віднесення, порядок доступу та умови припинення доступу до інформації з обмеженим доступом здійснюється у відповідності із рішенням Керівника Товариства у порядку, встановленому законодавством.</w:t>
      </w:r>
    </w:p>
    <w:p w14:paraId="58BA221D" w14:textId="77777777" w:rsidR="00E9400B" w:rsidRPr="009C65BB" w:rsidRDefault="00E9400B" w:rsidP="000C6480">
      <w:pPr>
        <w:numPr>
          <w:ilvl w:val="1"/>
          <w:numId w:val="3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 xml:space="preserve">Органи державної влади та органи місцевого самоврядування, їх посадові особи, в межах їх повноважень, визначених законодавством, на підставі письмового запиту, мають право на отримання службової інформації виключно у відповідності до вимог чинного законодавства України. </w:t>
      </w:r>
    </w:p>
    <w:p w14:paraId="77BBA03A" w14:textId="77777777" w:rsidR="00E9400B" w:rsidRPr="009C65BB" w:rsidRDefault="00E9400B" w:rsidP="000C6480">
      <w:pPr>
        <w:numPr>
          <w:ilvl w:val="1"/>
          <w:numId w:val="30"/>
        </w:numPr>
        <w:tabs>
          <w:tab w:val="left" w:pos="993"/>
          <w:tab w:val="left" w:pos="1134"/>
        </w:tabs>
        <w:suppressAutoHyphen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Клієнту забезпечується право доступу до інформації щодо діяльності Товариства. Уповноважені посадові особи зобов'язані на вимогу клієнта надати наступну інформацію:</w:t>
      </w:r>
    </w:p>
    <w:p w14:paraId="73FECE46"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відомості про фінансові показники діяльності Товариства та її стан, які підлягають обов’язковому оприлюдненню;</w:t>
      </w:r>
    </w:p>
    <w:p w14:paraId="113C415A"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перелік керівників Товариства та її відокремлених підрозділів;</w:t>
      </w:r>
    </w:p>
    <w:p w14:paraId="4FA3DF27"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перелік послуг, що надаються Товариству;</w:t>
      </w:r>
    </w:p>
    <w:p w14:paraId="5CB4C39E"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ціну/тарифи фінансових послуг;</w:t>
      </w:r>
    </w:p>
    <w:p w14:paraId="1DC1662F"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кількість акцій фінансової установи, які знаходяться у власності членів її виконавчого органу, та перелік осіб, частки яких у статутному капіталі Товариства перевищують п'ять відсотків;</w:t>
      </w:r>
    </w:p>
    <w:p w14:paraId="1F79CE20" w14:textId="77777777" w:rsidR="00E9400B" w:rsidRPr="009C65BB" w:rsidRDefault="00E9400B" w:rsidP="009C65BB">
      <w:pPr>
        <w:pStyle w:val="a3"/>
        <w:numPr>
          <w:ilvl w:val="0"/>
          <w:numId w:val="20"/>
        </w:numPr>
        <w:shd w:val="clear" w:color="auto" w:fill="FFFFFF"/>
        <w:tabs>
          <w:tab w:val="left" w:pos="993"/>
          <w:tab w:val="left" w:pos="1134"/>
        </w:tabs>
        <w:suppressAutoHyphens/>
        <w:ind w:left="928"/>
        <w:jc w:val="both"/>
        <w:rPr>
          <w:rFonts w:asciiTheme="minorHAnsi" w:eastAsia="Times New Roman" w:hAnsiTheme="minorHAnsi" w:cs="Times New Roman"/>
          <w:color w:val="auto"/>
          <w:sz w:val="20"/>
          <w:szCs w:val="20"/>
          <w:lang w:eastAsia="en-US"/>
        </w:rPr>
      </w:pPr>
      <w:r w:rsidRPr="009C65BB">
        <w:rPr>
          <w:rFonts w:asciiTheme="minorHAnsi" w:eastAsia="Times New Roman" w:hAnsiTheme="minorHAnsi" w:cs="Times New Roman"/>
          <w:color w:val="auto"/>
          <w:sz w:val="20"/>
          <w:szCs w:val="20"/>
          <w:lang w:eastAsia="en-US"/>
        </w:rPr>
        <w:t>іншу інформацію з питань надання фінансових послуг та інформацію, право па отримання якої закріплено в законах України.</w:t>
      </w:r>
    </w:p>
    <w:p w14:paraId="1EE56C2E" w14:textId="77777777" w:rsidR="00FB41D3" w:rsidRPr="009C65BB" w:rsidRDefault="00E9400B" w:rsidP="000C6480">
      <w:pPr>
        <w:numPr>
          <w:ilvl w:val="1"/>
          <w:numId w:val="30"/>
        </w:numPr>
        <w:tabs>
          <w:tab w:val="left" w:pos="993"/>
          <w:tab w:val="left" w:pos="1134"/>
        </w:tabs>
        <w:suppressAutoHyphen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lastRenderedPageBreak/>
        <w:t>Посадові особи керівних органів та працівники Товариства забезпечують конфіденційність інформації, що надається Клієнтом і становить його комерційну таємницю та/або службову інформацію.</w:t>
      </w:r>
    </w:p>
    <w:p w14:paraId="6273F048" w14:textId="77777777" w:rsidR="00FB41D3" w:rsidRPr="009C65BB" w:rsidRDefault="00FB41D3" w:rsidP="009C65BB">
      <w:pPr>
        <w:pStyle w:val="a3"/>
        <w:numPr>
          <w:ilvl w:val="1"/>
          <w:numId w:val="31"/>
        </w:numPr>
        <w:tabs>
          <w:tab w:val="left" w:pos="993"/>
          <w:tab w:val="left" w:pos="1134"/>
        </w:tabs>
        <w:suppressAutoHyphens/>
        <w:ind w:left="928" w:hanging="360"/>
        <w:jc w:val="both"/>
        <w:rPr>
          <w:rFonts w:asciiTheme="minorHAnsi" w:hAnsiTheme="minorHAnsi" w:cs="Times New Roman"/>
          <w:color w:val="auto"/>
          <w:sz w:val="20"/>
          <w:szCs w:val="20"/>
        </w:rPr>
      </w:pPr>
      <w:r w:rsidRPr="009C65BB">
        <w:rPr>
          <w:rFonts w:asciiTheme="minorHAnsi" w:hAnsiTheme="minorHAnsi"/>
          <w:color w:val="auto"/>
          <w:sz w:val="20"/>
          <w:szCs w:val="20"/>
        </w:rPr>
        <w:t xml:space="preserve">Комерційна таємниця. </w:t>
      </w:r>
    </w:p>
    <w:p w14:paraId="14D5F69D" w14:textId="77777777" w:rsidR="00FB41D3" w:rsidRPr="009C65BB" w:rsidRDefault="00FB41D3" w:rsidP="009C65BB">
      <w:pPr>
        <w:pStyle w:val="a3"/>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Під комерційною таємницею Товариства розуміються відомості, пов'язані з інформацією про фінансові послуги, управлінням, фінансами та іншою діяльністю Товариства, які не є державною таємницею, розголошення (передача, витік тощо) яких може завдати шкоди його інтересам.</w:t>
      </w:r>
    </w:p>
    <w:p w14:paraId="6F62B38F"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Склад і обсяг відомостей, що становлять комерційну таємницю, порядок їх захисту визначається в положенні про комерційну таємницю, яке затверджується Загальними Зборами Учасників Товариства.</w:t>
      </w:r>
    </w:p>
    <w:p w14:paraId="388F5C93"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Передача інформації будь-яким третім особам, опублікування або інше розголошення такої інформації може здійснюватися тільки за погодженням з керівництвом Товариства.</w:t>
      </w:r>
    </w:p>
    <w:p w14:paraId="6EDF5555" w14:textId="77777777" w:rsidR="00FB41D3" w:rsidRPr="009C65BB" w:rsidRDefault="00FB41D3" w:rsidP="009C65BB">
      <w:pPr>
        <w:widowControl w:val="0"/>
        <w:numPr>
          <w:ilvl w:val="1"/>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Документи, що не становлять комерційну таємницю і мають вільний доступ. </w:t>
      </w:r>
    </w:p>
    <w:p w14:paraId="08D9873B"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Не становлять комерційну таємницю: </w:t>
      </w:r>
    </w:p>
    <w:p w14:paraId="1C25A4E6"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установчі документи, що дозволяють займатися господарською діяльністю; </w:t>
      </w:r>
    </w:p>
    <w:p w14:paraId="6B33C373"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правила надання фінансових кредитів; </w:t>
      </w:r>
    </w:p>
    <w:p w14:paraId="3BDDFFF3"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дані, необхідні для перевірки обчислення і сплати податків та інших обов'язкових платежів; </w:t>
      </w:r>
    </w:p>
    <w:p w14:paraId="4EB0D9C7"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відомості про чисельність і склад працюючих за професіями й посадами, а також наявність вільних робочих місць; </w:t>
      </w:r>
    </w:p>
    <w:p w14:paraId="719F9296"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документи про сплату податків і обов'язкових платежів; </w:t>
      </w:r>
    </w:p>
    <w:p w14:paraId="11C788E5"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документи про платоспроможність;</w:t>
      </w:r>
    </w:p>
    <w:p w14:paraId="2EDB6B2C" w14:textId="77777777" w:rsidR="00FB41D3" w:rsidRPr="009C65BB" w:rsidRDefault="00FB41D3" w:rsidP="009C65BB">
      <w:pPr>
        <w:widowControl w:val="0"/>
        <w:numPr>
          <w:ilvl w:val="0"/>
          <w:numId w:val="25"/>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 відомості, що відповідно до чинного законодавства підлягають розголошенню. </w:t>
      </w:r>
    </w:p>
    <w:p w14:paraId="32AB3061" w14:textId="77777777" w:rsidR="00FB41D3" w:rsidRPr="009C65BB" w:rsidRDefault="00FB41D3" w:rsidP="009C65BB">
      <w:pPr>
        <w:widowControl w:val="0"/>
        <w:numPr>
          <w:ilvl w:val="1"/>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Обов'язки працівників Товариства. </w:t>
      </w:r>
    </w:p>
    <w:p w14:paraId="6C6BD852"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Обов'язки працівників Товариства щодо нерозголошення комерційної таємниці  встановлюються шляхом підписання співробітником зобов'язання про нерозголошення відомостей, що складають комерційну таємницю Товариства. </w:t>
      </w:r>
    </w:p>
    <w:p w14:paraId="0056AEE4"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У випадку звільнення працівників Товариства, що мають доступ до комерційної таємниці Товариства - будь-які носії такої інформації (як в паперовому так і в електронному вигляді), які знаходились у працівників, у зв'язку з виконанням ними службових обов'язків, повинні передаватися керівництву Товариства. </w:t>
      </w:r>
    </w:p>
    <w:p w14:paraId="187FFFED" w14:textId="77777777" w:rsidR="00FB41D3" w:rsidRPr="009C65BB" w:rsidRDefault="00FB41D3" w:rsidP="009C65BB">
      <w:pPr>
        <w:widowControl w:val="0"/>
        <w:numPr>
          <w:ilvl w:val="2"/>
          <w:numId w:val="31"/>
        </w:numPr>
        <w:tabs>
          <w:tab w:val="left" w:pos="993"/>
          <w:tab w:val="left" w:pos="1134"/>
        </w:tabs>
        <w:autoSpaceDE w:val="0"/>
        <w:autoSpaceDN w:val="0"/>
        <w:adjustRightInd w:val="0"/>
        <w:ind w:left="928" w:hanging="360"/>
        <w:jc w:val="both"/>
        <w:rPr>
          <w:rFonts w:asciiTheme="minorHAnsi" w:hAnsiTheme="minorHAnsi"/>
          <w:color w:val="auto"/>
          <w:sz w:val="20"/>
          <w:szCs w:val="20"/>
        </w:rPr>
      </w:pPr>
      <w:r w:rsidRPr="009C65BB">
        <w:rPr>
          <w:rFonts w:asciiTheme="minorHAnsi" w:hAnsiTheme="minorHAnsi"/>
          <w:color w:val="auto"/>
          <w:sz w:val="20"/>
          <w:szCs w:val="20"/>
        </w:rPr>
        <w:t>Працівники Товариства мають бути під розпис ознайомлені:</w:t>
      </w:r>
    </w:p>
    <w:p w14:paraId="0189E931" w14:textId="77777777" w:rsidR="00FB41D3" w:rsidRPr="009C65BB" w:rsidRDefault="00FB41D3" w:rsidP="009C65BB">
      <w:pPr>
        <w:widowControl w:val="0"/>
        <w:numPr>
          <w:ilvl w:val="0"/>
          <w:numId w:val="26"/>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з цими Правилами;</w:t>
      </w:r>
      <w:r w:rsidRPr="009C65BB">
        <w:rPr>
          <w:rFonts w:asciiTheme="minorHAnsi" w:hAnsiTheme="minorHAnsi"/>
          <w:color w:val="auto"/>
          <w:sz w:val="20"/>
          <w:szCs w:val="20"/>
        </w:rPr>
        <w:tab/>
      </w:r>
      <w:r w:rsidRPr="009C65BB">
        <w:rPr>
          <w:rFonts w:asciiTheme="minorHAnsi" w:hAnsiTheme="minorHAnsi"/>
          <w:color w:val="auto"/>
          <w:sz w:val="20"/>
          <w:szCs w:val="20"/>
        </w:rPr>
        <w:tab/>
      </w:r>
      <w:r w:rsidRPr="009C65BB">
        <w:rPr>
          <w:rFonts w:asciiTheme="minorHAnsi" w:hAnsiTheme="minorHAnsi"/>
          <w:color w:val="auto"/>
          <w:sz w:val="20"/>
          <w:szCs w:val="20"/>
        </w:rPr>
        <w:tab/>
      </w:r>
      <w:r w:rsidRPr="009C65BB">
        <w:rPr>
          <w:rFonts w:asciiTheme="minorHAnsi" w:hAnsiTheme="minorHAnsi"/>
          <w:color w:val="auto"/>
          <w:sz w:val="20"/>
          <w:szCs w:val="20"/>
        </w:rPr>
        <w:tab/>
      </w:r>
      <w:r w:rsidRPr="009C65BB">
        <w:rPr>
          <w:rFonts w:asciiTheme="minorHAnsi" w:hAnsiTheme="minorHAnsi"/>
          <w:color w:val="auto"/>
          <w:sz w:val="20"/>
          <w:szCs w:val="20"/>
        </w:rPr>
        <w:tab/>
      </w:r>
      <w:r w:rsidRPr="009C65BB">
        <w:rPr>
          <w:rFonts w:asciiTheme="minorHAnsi" w:hAnsiTheme="minorHAnsi"/>
          <w:color w:val="auto"/>
          <w:sz w:val="20"/>
          <w:szCs w:val="20"/>
        </w:rPr>
        <w:tab/>
      </w:r>
      <w:r w:rsidRPr="009C65BB">
        <w:rPr>
          <w:rFonts w:asciiTheme="minorHAnsi" w:hAnsiTheme="minorHAnsi"/>
          <w:color w:val="auto"/>
          <w:sz w:val="20"/>
          <w:szCs w:val="20"/>
        </w:rPr>
        <w:tab/>
      </w:r>
    </w:p>
    <w:p w14:paraId="22C3A03A" w14:textId="77777777" w:rsidR="00FB41D3" w:rsidRPr="009C65BB" w:rsidRDefault="00FB41D3" w:rsidP="009C65BB">
      <w:pPr>
        <w:widowControl w:val="0"/>
        <w:numPr>
          <w:ilvl w:val="0"/>
          <w:numId w:val="26"/>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з положенням про комерційну таємницю Товариства;</w:t>
      </w:r>
    </w:p>
    <w:p w14:paraId="45E6892D" w14:textId="77777777" w:rsidR="00FB41D3" w:rsidRPr="009C65BB" w:rsidRDefault="00FB41D3" w:rsidP="009C65BB">
      <w:pPr>
        <w:widowControl w:val="0"/>
        <w:numPr>
          <w:ilvl w:val="0"/>
          <w:numId w:val="26"/>
        </w:numPr>
        <w:tabs>
          <w:tab w:val="clear" w:pos="1440"/>
          <w:tab w:val="left" w:pos="993"/>
          <w:tab w:val="left" w:pos="1134"/>
        </w:tabs>
        <w:autoSpaceDE w:val="0"/>
        <w:autoSpaceDN w:val="0"/>
        <w:adjustRightInd w:val="0"/>
        <w:ind w:left="928"/>
        <w:jc w:val="both"/>
        <w:rPr>
          <w:rFonts w:asciiTheme="minorHAnsi" w:hAnsiTheme="minorHAnsi"/>
          <w:color w:val="auto"/>
          <w:sz w:val="20"/>
          <w:szCs w:val="20"/>
        </w:rPr>
      </w:pPr>
      <w:r w:rsidRPr="009C65BB">
        <w:rPr>
          <w:rFonts w:asciiTheme="minorHAnsi" w:hAnsiTheme="minorHAnsi"/>
          <w:color w:val="auto"/>
          <w:sz w:val="20"/>
          <w:szCs w:val="20"/>
        </w:rPr>
        <w:t xml:space="preserve">із змістом відповідальності у випадку розголошення відомостей, що становлять комерційну таємницю Товариства. </w:t>
      </w:r>
    </w:p>
    <w:p w14:paraId="38294C07" w14:textId="77777777" w:rsidR="00FB41D3" w:rsidRPr="009C65BB" w:rsidRDefault="00FB41D3"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p>
    <w:p w14:paraId="235689BA" w14:textId="77777777" w:rsidR="00E9400B" w:rsidRPr="009C65BB" w:rsidRDefault="00E9400B" w:rsidP="000C6480">
      <w:pPr>
        <w:numPr>
          <w:ilvl w:val="0"/>
          <w:numId w:val="30"/>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ПОРЯДОК ПРОВЕДЕННЯ ВНУТРІШНЬОГО КОНТРОЛЮ ЩОДО ДОТРИМАННЯ ЗАКОНОДАВСТВА ТА ВНУТРІШНІХ РЕГЛАМЕНТУЮЧИХ ДОКУМЕНТІВ ПРИ ЗДІЙСНЕННІ ОПЕРАЦІЙ З НАДАННЯ ФІНАНСОВИХ ПОСЛУГ.</w:t>
      </w:r>
    </w:p>
    <w:p w14:paraId="49EE6E99" w14:textId="77777777" w:rsidR="00FB41D3" w:rsidRPr="009C65BB" w:rsidRDefault="00FB41D3" w:rsidP="009C65BB">
      <w:pPr>
        <w:pStyle w:val="a3"/>
        <w:numPr>
          <w:ilvl w:val="1"/>
          <w:numId w:val="32"/>
        </w:numPr>
        <w:tabs>
          <w:tab w:val="left" w:pos="993"/>
          <w:tab w:val="left" w:pos="1134"/>
        </w:tabs>
        <w:suppressAutoHyphen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 </w:t>
      </w:r>
      <w:r w:rsidR="00E9400B" w:rsidRPr="009C65BB">
        <w:rPr>
          <w:rFonts w:asciiTheme="minorHAnsi" w:hAnsiTheme="minorHAnsi" w:cs="Times New Roman"/>
          <w:color w:val="auto"/>
          <w:sz w:val="20"/>
          <w:szCs w:val="20"/>
        </w:rPr>
        <w:t>Товариство запроваджує систему внутрішнього контролю, щодо дотримання законодавства та внутрішніх регламентуючих документів при здійсненні даного виду фінансових послуг.</w:t>
      </w:r>
    </w:p>
    <w:p w14:paraId="5B15CF1A" w14:textId="77777777" w:rsidR="00FB41D3" w:rsidRPr="009C65BB" w:rsidRDefault="00FB41D3" w:rsidP="009C65BB">
      <w:pPr>
        <w:pStyle w:val="a3"/>
        <w:numPr>
          <w:ilvl w:val="1"/>
          <w:numId w:val="32"/>
        </w:numPr>
        <w:tabs>
          <w:tab w:val="left" w:pos="993"/>
          <w:tab w:val="left" w:pos="1134"/>
        </w:tabs>
        <w:suppressAutoHyphen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 </w:t>
      </w:r>
      <w:r w:rsidR="00E9400B" w:rsidRPr="009C65BB">
        <w:rPr>
          <w:rFonts w:asciiTheme="minorHAnsi" w:hAnsiTheme="minorHAnsi" w:cs="Times New Roman"/>
          <w:color w:val="auto"/>
          <w:sz w:val="20"/>
          <w:szCs w:val="20"/>
        </w:rPr>
        <w:t>Предметом контролю є управлінське рішення, порядок його ухвалення та виконання структурними підрозділами Товариства з точки зору правильності,  доцільності  та ефективності.</w:t>
      </w:r>
    </w:p>
    <w:p w14:paraId="6EB70B62" w14:textId="77777777" w:rsidR="00E9400B" w:rsidRPr="009C65BB" w:rsidRDefault="00FB41D3" w:rsidP="009C65BB">
      <w:pPr>
        <w:pStyle w:val="a3"/>
        <w:numPr>
          <w:ilvl w:val="1"/>
          <w:numId w:val="32"/>
        </w:numPr>
        <w:tabs>
          <w:tab w:val="left" w:pos="993"/>
          <w:tab w:val="left" w:pos="1134"/>
        </w:tabs>
        <w:suppressAutoHyphen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 xml:space="preserve">. </w:t>
      </w:r>
      <w:r w:rsidR="00E9400B" w:rsidRPr="009C65BB">
        <w:rPr>
          <w:rFonts w:asciiTheme="minorHAnsi" w:hAnsiTheme="minorHAnsi" w:cs="Times New Roman"/>
          <w:color w:val="auto"/>
          <w:sz w:val="20"/>
          <w:szCs w:val="20"/>
        </w:rPr>
        <w:t>Ефективність</w:t>
      </w:r>
      <w:r w:rsidR="00E9400B" w:rsidRPr="009C65BB">
        <w:rPr>
          <w:rFonts w:asciiTheme="minorHAnsi" w:hAnsiTheme="minorHAnsi" w:cs="Times New Roman"/>
          <w:b/>
          <w:bCs/>
          <w:color w:val="auto"/>
          <w:sz w:val="20"/>
          <w:szCs w:val="20"/>
        </w:rPr>
        <w:t xml:space="preserve"> </w:t>
      </w:r>
      <w:r w:rsidR="00E9400B" w:rsidRPr="009C65BB">
        <w:rPr>
          <w:rFonts w:asciiTheme="minorHAnsi" w:hAnsiTheme="minorHAnsi" w:cs="Times New Roman"/>
          <w:bCs/>
          <w:color w:val="auto"/>
          <w:sz w:val="20"/>
          <w:szCs w:val="20"/>
        </w:rPr>
        <w:t>системи внутрішнього контролю виражається в:</w:t>
      </w:r>
    </w:p>
    <w:p w14:paraId="7F3CA0DD" w14:textId="77777777" w:rsidR="00E9400B" w:rsidRPr="009C65BB" w:rsidRDefault="00E9400B" w:rsidP="009C65BB">
      <w:pPr>
        <w:pStyle w:val="1"/>
        <w:numPr>
          <w:ilvl w:val="0"/>
          <w:numId w:val="21"/>
        </w:numPr>
        <w:tabs>
          <w:tab w:val="left" w:pos="993"/>
          <w:tab w:val="left" w:pos="1134"/>
        </w:tabs>
        <w:suppressAutoHyphen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процесній інтеграції (впровадження в процес);</w:t>
      </w:r>
    </w:p>
    <w:p w14:paraId="53F43EA3" w14:textId="77777777" w:rsidR="00E9400B" w:rsidRPr="009C65BB" w:rsidRDefault="00E9400B" w:rsidP="009C65BB">
      <w:pPr>
        <w:pStyle w:val="1"/>
        <w:numPr>
          <w:ilvl w:val="0"/>
          <w:numId w:val="21"/>
        </w:numPr>
        <w:tabs>
          <w:tab w:val="left" w:pos="993"/>
          <w:tab w:val="left" w:pos="1134"/>
        </w:tabs>
        <w:suppressAutoHyphen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оцінці ризиків на регулярній основі;</w:t>
      </w:r>
    </w:p>
    <w:p w14:paraId="5C13D2E6" w14:textId="77777777" w:rsidR="00E9400B" w:rsidRPr="009C65BB" w:rsidRDefault="00E9400B" w:rsidP="009C65BB">
      <w:pPr>
        <w:pStyle w:val="1"/>
        <w:numPr>
          <w:ilvl w:val="0"/>
          <w:numId w:val="21"/>
        </w:numPr>
        <w:tabs>
          <w:tab w:val="left" w:pos="993"/>
          <w:tab w:val="left" w:pos="1134"/>
        </w:tabs>
        <w:suppressAutoHyphens/>
        <w:spacing w:line="240" w:lineRule="auto"/>
        <w:ind w:left="928"/>
        <w:rPr>
          <w:rFonts w:asciiTheme="minorHAnsi" w:hAnsiTheme="minorHAnsi"/>
          <w:b w:val="0"/>
          <w:bCs w:val="0"/>
          <w:sz w:val="20"/>
          <w:szCs w:val="20"/>
        </w:rPr>
      </w:pPr>
      <w:r w:rsidRPr="009C65BB">
        <w:rPr>
          <w:rFonts w:asciiTheme="minorHAnsi" w:hAnsiTheme="minorHAnsi"/>
          <w:b w:val="0"/>
          <w:bCs w:val="0"/>
          <w:sz w:val="20"/>
          <w:szCs w:val="20"/>
        </w:rPr>
        <w:t>розробці та проведенні заходів, з подальшою оцінкою їх ефективності.</w:t>
      </w:r>
    </w:p>
    <w:p w14:paraId="7F8E99AB" w14:textId="77777777" w:rsidR="00E9400B" w:rsidRPr="009C65BB" w:rsidRDefault="00E9400B" w:rsidP="000C6480">
      <w:pPr>
        <w:numPr>
          <w:ilvl w:val="1"/>
          <w:numId w:val="30"/>
        </w:numPr>
        <w:tabs>
          <w:tab w:val="left" w:pos="993"/>
          <w:tab w:val="left" w:pos="1134"/>
        </w:tabs>
        <w:suppressAutoHyphens/>
        <w:ind w:left="928"/>
        <w:jc w:val="both"/>
        <w:rPr>
          <w:rFonts w:asciiTheme="minorHAnsi" w:hAnsiTheme="minorHAnsi" w:cs="Times New Roman"/>
          <w:bCs/>
          <w:color w:val="auto"/>
          <w:sz w:val="20"/>
          <w:szCs w:val="20"/>
        </w:rPr>
      </w:pPr>
      <w:r w:rsidRPr="009C65BB">
        <w:rPr>
          <w:rFonts w:asciiTheme="minorHAnsi" w:hAnsiTheme="minorHAnsi" w:cs="Times New Roman"/>
          <w:bCs/>
          <w:color w:val="auto"/>
          <w:sz w:val="20"/>
          <w:szCs w:val="20"/>
        </w:rPr>
        <w:t xml:space="preserve">Рівні </w:t>
      </w:r>
      <w:r w:rsidRPr="009C65BB">
        <w:rPr>
          <w:rFonts w:asciiTheme="minorHAnsi" w:hAnsiTheme="minorHAnsi" w:cs="Times New Roman"/>
          <w:color w:val="auto"/>
          <w:sz w:val="20"/>
          <w:szCs w:val="20"/>
        </w:rPr>
        <w:t>контролю</w:t>
      </w:r>
      <w:r w:rsidRPr="009C65BB">
        <w:rPr>
          <w:rFonts w:asciiTheme="minorHAnsi" w:hAnsiTheme="minorHAnsi" w:cs="Times New Roman"/>
          <w:bCs/>
          <w:color w:val="auto"/>
          <w:sz w:val="20"/>
          <w:szCs w:val="20"/>
        </w:rPr>
        <w:t xml:space="preserve"> в частині надання послуг з надання поручительств та гарантій:</w:t>
      </w:r>
    </w:p>
    <w:p w14:paraId="1CAA2657" w14:textId="77777777" w:rsidR="00E9400B" w:rsidRPr="009C65BB" w:rsidRDefault="00E9400B" w:rsidP="009C65BB">
      <w:pPr>
        <w:pStyle w:val="1"/>
        <w:numPr>
          <w:ilvl w:val="2"/>
          <w:numId w:val="7"/>
        </w:numPr>
        <w:shd w:val="clear" w:color="auto" w:fill="auto"/>
        <w:tabs>
          <w:tab w:val="left" w:pos="709"/>
          <w:tab w:val="left" w:pos="993"/>
          <w:tab w:val="left" w:pos="1134"/>
          <w:tab w:val="num" w:pos="1276"/>
        </w:tabs>
        <w:suppressAutoHyphen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Перший рівень - самоконтроль/поточний контроль, який проводиться під час надання послуг з надання поручительств та гарантій і включає контроль за дотриманням внутрішніх документів щодо здійснення пов’язаних з цим операцій, коректності внесення даних до документів, порядку прийняття рішень про здійснення відповідних дій; контроль за своєчасним і достовірним відображенням операцій у бухгалтерському облік та звітності, контроль за збереженням майна Товариства.</w:t>
      </w:r>
    </w:p>
    <w:p w14:paraId="468D9CC4" w14:textId="77777777" w:rsidR="00E9400B" w:rsidRPr="009C65BB" w:rsidRDefault="00E9400B" w:rsidP="009C65BB">
      <w:pPr>
        <w:pStyle w:val="1"/>
        <w:numPr>
          <w:ilvl w:val="2"/>
          <w:numId w:val="7"/>
        </w:numPr>
        <w:shd w:val="clear" w:color="auto" w:fill="auto"/>
        <w:tabs>
          <w:tab w:val="left" w:pos="709"/>
          <w:tab w:val="left" w:pos="993"/>
          <w:tab w:val="left" w:pos="1134"/>
          <w:tab w:val="num" w:pos="1276"/>
        </w:tabs>
        <w:suppressAutoHyphen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Другий рівень - подальший контроль, який проводиться після надання послуги з надання поручительств та гарантій і полягає у перевірці обґрунтованості та правильності здійснення відповідних дій  а також відповідності документів встановленим формам та вимогам щодо їх оформлення, відповідності виконуваних працівниками обов'язків їх посадовим інструкціям, виявленні причин порушень і недоліків та визначенні заходів щодо їх усунення, коригуванні планових і прогнозних показників, перевірці повноти та достовірності даних статистичної звітності, сформованої Товариством.</w:t>
      </w:r>
    </w:p>
    <w:p w14:paraId="41C3D7C8" w14:textId="77777777" w:rsidR="00FB41D3" w:rsidRPr="009C65BB" w:rsidRDefault="00E9400B" w:rsidP="009C65BB">
      <w:pPr>
        <w:pStyle w:val="1"/>
        <w:numPr>
          <w:ilvl w:val="2"/>
          <w:numId w:val="7"/>
        </w:numPr>
        <w:shd w:val="clear" w:color="auto" w:fill="auto"/>
        <w:tabs>
          <w:tab w:val="left" w:pos="709"/>
          <w:tab w:val="left" w:pos="993"/>
          <w:tab w:val="left" w:pos="1134"/>
          <w:tab w:val="num" w:pos="1276"/>
        </w:tabs>
        <w:suppressAutoHyphens/>
        <w:spacing w:line="240" w:lineRule="auto"/>
        <w:ind w:left="928" w:hanging="360"/>
        <w:rPr>
          <w:rFonts w:asciiTheme="minorHAnsi" w:hAnsiTheme="minorHAnsi"/>
          <w:b w:val="0"/>
          <w:bCs w:val="0"/>
          <w:sz w:val="20"/>
          <w:szCs w:val="20"/>
        </w:rPr>
      </w:pPr>
      <w:r w:rsidRPr="009C65BB">
        <w:rPr>
          <w:rFonts w:asciiTheme="minorHAnsi" w:hAnsiTheme="minorHAnsi"/>
          <w:b w:val="0"/>
          <w:bCs w:val="0"/>
          <w:sz w:val="20"/>
          <w:szCs w:val="20"/>
        </w:rPr>
        <w:t xml:space="preserve">Третій рівень - інституційний контроль - проведення планових перевірок уповноваженим підрозділом Товариства для незалежної оцінки ефективності роботи, впровадженої системи управління та контролю ризиків, а також якості організації процесів та здійснення операцій учасниками процесів. Інституційний </w:t>
      </w:r>
      <w:r w:rsidRPr="009C65BB">
        <w:rPr>
          <w:rFonts w:asciiTheme="minorHAnsi" w:hAnsiTheme="minorHAnsi"/>
          <w:b w:val="0"/>
          <w:bCs w:val="0"/>
          <w:sz w:val="20"/>
          <w:szCs w:val="20"/>
        </w:rPr>
        <w:lastRenderedPageBreak/>
        <w:t>контроль здійснюється шляхом аналізу щоквартальних звітів працівників та проведення перевірок, які проводяться не рідше двох разів на рік.</w:t>
      </w:r>
    </w:p>
    <w:p w14:paraId="1139DF90" w14:textId="77777777" w:rsidR="00FB41D3" w:rsidRPr="009C65BB" w:rsidRDefault="00E9400B" w:rsidP="009C65BB">
      <w:pPr>
        <w:pStyle w:val="1"/>
        <w:numPr>
          <w:ilvl w:val="2"/>
          <w:numId w:val="7"/>
        </w:numPr>
        <w:shd w:val="clear" w:color="auto" w:fill="auto"/>
        <w:tabs>
          <w:tab w:val="left" w:pos="709"/>
          <w:tab w:val="left" w:pos="993"/>
          <w:tab w:val="left" w:pos="1134"/>
          <w:tab w:val="num" w:pos="1276"/>
        </w:tabs>
        <w:suppressAutoHyphens/>
        <w:spacing w:line="240" w:lineRule="auto"/>
        <w:ind w:left="928" w:hanging="360"/>
        <w:rPr>
          <w:rFonts w:asciiTheme="minorHAnsi" w:hAnsiTheme="minorHAnsi"/>
          <w:b w:val="0"/>
          <w:bCs w:val="0"/>
          <w:sz w:val="20"/>
          <w:szCs w:val="20"/>
        </w:rPr>
      </w:pPr>
      <w:r w:rsidRPr="009C65BB">
        <w:rPr>
          <w:rFonts w:asciiTheme="minorHAnsi" w:hAnsiTheme="minorHAnsi" w:cs="Times New Roman"/>
          <w:b w:val="0"/>
          <w:sz w:val="20"/>
          <w:szCs w:val="20"/>
        </w:rPr>
        <w:t>В разі порушення працівниками Товариства цих Правил, до нього в установленому законодавством порядку може бути застосовано заходи впливу, передбачені Колективним договором та чинним законодавством України.</w:t>
      </w:r>
    </w:p>
    <w:p w14:paraId="74424ADC" w14:textId="77777777" w:rsidR="00E9400B" w:rsidRPr="009C65BB" w:rsidRDefault="00E9400B" w:rsidP="009C65BB">
      <w:pPr>
        <w:pStyle w:val="1"/>
        <w:numPr>
          <w:ilvl w:val="2"/>
          <w:numId w:val="7"/>
        </w:numPr>
        <w:shd w:val="clear" w:color="auto" w:fill="auto"/>
        <w:tabs>
          <w:tab w:val="left" w:pos="709"/>
          <w:tab w:val="left" w:pos="993"/>
          <w:tab w:val="left" w:pos="1134"/>
          <w:tab w:val="num" w:pos="1276"/>
        </w:tabs>
        <w:suppressAutoHyphens/>
        <w:spacing w:line="240" w:lineRule="auto"/>
        <w:ind w:left="928" w:hanging="360"/>
        <w:rPr>
          <w:rFonts w:asciiTheme="minorHAnsi" w:hAnsiTheme="minorHAnsi"/>
          <w:b w:val="0"/>
          <w:bCs w:val="0"/>
          <w:sz w:val="20"/>
          <w:szCs w:val="20"/>
        </w:rPr>
      </w:pPr>
      <w:r w:rsidRPr="009C65BB">
        <w:rPr>
          <w:rFonts w:asciiTheme="minorHAnsi" w:hAnsiTheme="minorHAnsi" w:cs="Times New Roman"/>
          <w:b w:val="0"/>
          <w:sz w:val="20"/>
          <w:szCs w:val="20"/>
        </w:rPr>
        <w:t>Товариство здійснює внутрішній контроль за укладанням договорів з надання поручительств та гарантій у спеціальному порядку. Посадові особи товариства, які безпосередньо здійснюють роботу з клієнтами, укладання та виконання договорів з надання поручительств та гарантій, несуть відповідальність згідно чинного законодавства та посадових обов'язків.</w:t>
      </w:r>
    </w:p>
    <w:p w14:paraId="2E3ED8ED" w14:textId="77777777" w:rsidR="00E9400B" w:rsidRPr="009C65BB" w:rsidRDefault="00E9400B" w:rsidP="009C65BB">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p>
    <w:p w14:paraId="3C14D171" w14:textId="77777777" w:rsidR="00E9400B" w:rsidRPr="009C65BB" w:rsidRDefault="00E9400B" w:rsidP="009C65BB">
      <w:pPr>
        <w:numPr>
          <w:ilvl w:val="0"/>
          <w:numId w:val="7"/>
        </w:numPr>
        <w:tabs>
          <w:tab w:val="clear" w:pos="435"/>
          <w:tab w:val="left" w:pos="993"/>
          <w:tab w:val="left" w:pos="1134"/>
        </w:tabs>
        <w:ind w:left="928" w:hanging="360"/>
        <w:jc w:val="both"/>
        <w:rPr>
          <w:rFonts w:asciiTheme="minorHAnsi" w:hAnsiTheme="minorHAnsi" w:cs="Times New Roman"/>
          <w:b/>
          <w:color w:val="auto"/>
          <w:sz w:val="20"/>
          <w:szCs w:val="20"/>
        </w:rPr>
      </w:pPr>
      <w:r w:rsidRPr="009C65BB">
        <w:rPr>
          <w:rFonts w:asciiTheme="minorHAnsi" w:hAnsiTheme="minorHAnsi" w:cs="Times New Roman"/>
          <w:b/>
          <w:color w:val="auto"/>
          <w:sz w:val="20"/>
          <w:szCs w:val="20"/>
        </w:rPr>
        <w:t>ВІДПОВІДАЛЬНІСТЬ ПОСАДОВИХ ОСІБ, ДО ПОСАДОВИХ ОБОВ'ЯЗКІВ, ЯКИХ НАЛЕЖИТЬ БЕЗПОСЕРЕДНЯ РОБОТА З КЛІЄНТАМИ, УКЛАДАННЯ ТА ВИКОНАННЯ ДОГОВОРІВ.</w:t>
      </w:r>
    </w:p>
    <w:p w14:paraId="05B3B19F" w14:textId="77777777" w:rsidR="00E9400B" w:rsidRPr="009C65BB" w:rsidRDefault="00E9400B" w:rsidP="009C65BB">
      <w:pPr>
        <w:numPr>
          <w:ilvl w:val="1"/>
          <w:numId w:val="8"/>
        </w:numPr>
        <w:tabs>
          <w:tab w:val="left" w:pos="993"/>
          <w:tab w:val="left" w:pos="1134"/>
        </w:tabs>
        <w:suppressAutoHyphens/>
        <w:ind w:left="928" w:hanging="360"/>
        <w:jc w:val="both"/>
        <w:rPr>
          <w:rFonts w:asciiTheme="minorHAnsi" w:hAnsiTheme="minorHAnsi" w:cs="Times New Roman"/>
          <w:color w:val="auto"/>
          <w:sz w:val="20"/>
          <w:szCs w:val="20"/>
        </w:rPr>
      </w:pPr>
      <w:r w:rsidRPr="009C65BB">
        <w:rPr>
          <w:rFonts w:asciiTheme="minorHAnsi" w:hAnsiTheme="minorHAnsi" w:cs="Times New Roman"/>
          <w:bCs/>
          <w:color w:val="auto"/>
          <w:sz w:val="20"/>
          <w:szCs w:val="20"/>
        </w:rPr>
        <w:t>Посадові</w:t>
      </w:r>
      <w:r w:rsidRPr="009C65BB">
        <w:rPr>
          <w:rFonts w:asciiTheme="minorHAnsi" w:hAnsiTheme="minorHAnsi" w:cs="Times New Roman"/>
          <w:color w:val="auto"/>
          <w:sz w:val="20"/>
          <w:szCs w:val="20"/>
        </w:rPr>
        <w:t xml:space="preserve"> особи Товариства, до посадових обов'язків яких належить безпосередня робота з Клієнтами, укладання та виконання Договорів про надання гарантій та Договорів поручительств, зобов'язані:</w:t>
      </w:r>
    </w:p>
    <w:p w14:paraId="59B1E4DF"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виконувати свої посадові обов'язки на підставі посадових інструкцій, цих Правил та внутрішніх регламентуючих документів Товариства;</w:t>
      </w:r>
    </w:p>
    <w:p w14:paraId="18A61D20"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керуватись у своїй роботі чинним законодавством України;</w:t>
      </w:r>
    </w:p>
    <w:p w14:paraId="37B80D7F"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надавати органам контролю Товариства документи, необхідні для контролю відповідності здійснення ними своїх посадових обов'язків;</w:t>
      </w:r>
    </w:p>
    <w:p w14:paraId="2AEA95CF"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надавати інформацію про виконання ними посадових обов'язків органам контролю Товариства;</w:t>
      </w:r>
    </w:p>
    <w:p w14:paraId="0481E36B"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не завдавати шкоди інтересам Товариства, не порушувати прав та інтересів клієнтів Товариства;</w:t>
      </w:r>
    </w:p>
    <w:p w14:paraId="05FE42B6" w14:textId="77777777" w:rsidR="00E9400B" w:rsidRPr="009C65BB" w:rsidRDefault="00E9400B" w:rsidP="009C65BB">
      <w:pPr>
        <w:pStyle w:val="a3"/>
        <w:numPr>
          <w:ilvl w:val="0"/>
          <w:numId w:val="22"/>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нести встановлену законом майнову відповідальність.</w:t>
      </w:r>
    </w:p>
    <w:p w14:paraId="0651F47F" w14:textId="77777777" w:rsidR="00E9400B" w:rsidRPr="009C65BB" w:rsidRDefault="00E9400B" w:rsidP="009C65BB">
      <w:pPr>
        <w:numPr>
          <w:ilvl w:val="1"/>
          <w:numId w:val="8"/>
        </w:numPr>
        <w:tabs>
          <w:tab w:val="left" w:pos="993"/>
          <w:tab w:val="left" w:pos="1134"/>
        </w:tabs>
        <w:suppressAutoHyphen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Посадові особи, до посадових обов'язків яких належить безпосередня робота з клієнтами, укладання та виконання Договорів поручительств та Договорів про надання гарантії несуть відповідальність за вчинювані ними дії в порядку та в межах, передбачених чинним законодавством України, та статутом Товариства.</w:t>
      </w:r>
    </w:p>
    <w:p w14:paraId="111D5E58" w14:textId="77777777" w:rsidR="00E9400B" w:rsidRPr="009C65BB" w:rsidRDefault="00E9400B" w:rsidP="009C65BB">
      <w:pPr>
        <w:numPr>
          <w:ilvl w:val="1"/>
          <w:numId w:val="8"/>
        </w:numPr>
        <w:tabs>
          <w:tab w:val="left" w:pos="993"/>
          <w:tab w:val="left" w:pos="1134"/>
        </w:tabs>
        <w:suppressAutoHyphen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Працівник Товариства, до посадових обов'язків якого належить безпосередня робота з клієнтами, укладення та виконання Договорів поручительств та Договорів про надання гарантії несе відповідальність:</w:t>
      </w:r>
    </w:p>
    <w:p w14:paraId="2EB8FDE8" w14:textId="77777777" w:rsidR="00E9400B" w:rsidRPr="009C65BB" w:rsidRDefault="00E9400B" w:rsidP="009C65BB">
      <w:pPr>
        <w:pStyle w:val="a3"/>
        <w:numPr>
          <w:ilvl w:val="0"/>
          <w:numId w:val="23"/>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неналежне виконання або невиконання посадових обов'язків, передбачених посадовою інструкцією -у межах, зазначених чинним трудовим законодавством України.</w:t>
      </w:r>
    </w:p>
    <w:p w14:paraId="09F18001" w14:textId="77777777" w:rsidR="00E9400B" w:rsidRPr="009C65BB" w:rsidRDefault="00E9400B" w:rsidP="009C65BB">
      <w:pPr>
        <w:pStyle w:val="a3"/>
        <w:numPr>
          <w:ilvl w:val="0"/>
          <w:numId w:val="23"/>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правопорушення, здійснені у процесі своєї діяльності, -у межах зазначених чинним адміністративним, кримінальним та цивільним законодавством України.</w:t>
      </w:r>
    </w:p>
    <w:p w14:paraId="10C86E39" w14:textId="77777777" w:rsidR="00E9400B" w:rsidRPr="009C65BB" w:rsidRDefault="00E9400B" w:rsidP="009C65BB">
      <w:pPr>
        <w:pStyle w:val="a3"/>
        <w:numPr>
          <w:ilvl w:val="0"/>
          <w:numId w:val="23"/>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нанесені матеріальні збитки - у межах, зазначених чинним трудовим та цивільним законодавством України.</w:t>
      </w:r>
    </w:p>
    <w:p w14:paraId="74393B99" w14:textId="77777777" w:rsidR="00E9400B" w:rsidRPr="009C65BB" w:rsidRDefault="00E9400B" w:rsidP="009C65BB">
      <w:pPr>
        <w:numPr>
          <w:ilvl w:val="1"/>
          <w:numId w:val="8"/>
        </w:numPr>
        <w:tabs>
          <w:tab w:val="left" w:pos="993"/>
          <w:tab w:val="left" w:pos="1134"/>
        </w:tabs>
        <w:suppressAutoHyphens/>
        <w:ind w:left="928" w:hanging="360"/>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Касир Товариства несе відповідальність:</w:t>
      </w:r>
    </w:p>
    <w:p w14:paraId="52B053F1" w14:textId="77777777" w:rsidR="00E9400B" w:rsidRPr="009C65BB" w:rsidRDefault="00E9400B" w:rsidP="009C65BB">
      <w:pPr>
        <w:pStyle w:val="a3"/>
        <w:numPr>
          <w:ilvl w:val="0"/>
          <w:numId w:val="24"/>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неналежне виконання або невиконання посадових обов'язків, передбачених посадовою інструкцією -у межах, зазначених чинним трудовим законодавством України.</w:t>
      </w:r>
    </w:p>
    <w:p w14:paraId="51912C07" w14:textId="77777777" w:rsidR="00E9400B" w:rsidRPr="009C65BB" w:rsidRDefault="00E9400B" w:rsidP="009C65BB">
      <w:pPr>
        <w:pStyle w:val="a3"/>
        <w:numPr>
          <w:ilvl w:val="0"/>
          <w:numId w:val="24"/>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правопорушення, здійснені у процесі своєї діяльності, -у межах зазначених чинним адміністративним, кримінальним та цивільним законодавством України.</w:t>
      </w:r>
    </w:p>
    <w:p w14:paraId="4952DC76" w14:textId="77777777" w:rsidR="00E9400B" w:rsidRPr="009C65BB" w:rsidRDefault="00E9400B" w:rsidP="009C65BB">
      <w:pPr>
        <w:pStyle w:val="a3"/>
        <w:numPr>
          <w:ilvl w:val="0"/>
          <w:numId w:val="24"/>
        </w:numPr>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jc w:val="both"/>
        <w:rPr>
          <w:rFonts w:asciiTheme="minorHAnsi" w:hAnsiTheme="minorHAnsi" w:cs="Times New Roman"/>
          <w:color w:val="auto"/>
          <w:sz w:val="20"/>
          <w:szCs w:val="20"/>
        </w:rPr>
      </w:pPr>
      <w:r w:rsidRPr="009C65BB">
        <w:rPr>
          <w:rFonts w:asciiTheme="minorHAnsi" w:hAnsiTheme="minorHAnsi" w:cs="Times New Roman"/>
          <w:color w:val="auto"/>
          <w:sz w:val="20"/>
          <w:szCs w:val="20"/>
        </w:rPr>
        <w:t>за нанесені матеріальні збитки - у межах, зазначених чинним трудовим та цивільним законодавством України.</w:t>
      </w:r>
    </w:p>
    <w:p w14:paraId="0AE0857E" w14:textId="77777777" w:rsidR="009C65BB" w:rsidRPr="009C65BB" w:rsidRDefault="009C65BB" w:rsidP="009C65BB">
      <w:pPr>
        <w:tabs>
          <w:tab w:val="left" w:pos="993"/>
          <w:tab w:val="left" w:pos="1134"/>
        </w:tabs>
        <w:ind w:left="928" w:hanging="360"/>
        <w:jc w:val="both"/>
        <w:rPr>
          <w:rFonts w:asciiTheme="minorHAnsi" w:hAnsiTheme="minorHAnsi"/>
          <w:b/>
          <w:color w:val="auto"/>
          <w:sz w:val="20"/>
          <w:szCs w:val="20"/>
        </w:rPr>
      </w:pPr>
    </w:p>
    <w:p w14:paraId="626DF874" w14:textId="77777777" w:rsidR="009C65BB" w:rsidRPr="009C65BB" w:rsidRDefault="009C65BB" w:rsidP="009C65BB">
      <w:pPr>
        <w:tabs>
          <w:tab w:val="left" w:pos="993"/>
          <w:tab w:val="left" w:pos="1134"/>
        </w:tabs>
        <w:ind w:left="928" w:hanging="360"/>
        <w:jc w:val="both"/>
        <w:rPr>
          <w:rFonts w:asciiTheme="minorHAnsi" w:hAnsiTheme="minorHAnsi"/>
          <w:b/>
          <w:color w:val="auto"/>
          <w:sz w:val="20"/>
          <w:szCs w:val="20"/>
        </w:rPr>
      </w:pPr>
    </w:p>
    <w:p w14:paraId="2FE1777F" w14:textId="77777777" w:rsidR="009C65BB" w:rsidRPr="009C65BB" w:rsidRDefault="009C65BB" w:rsidP="009C65BB">
      <w:pPr>
        <w:tabs>
          <w:tab w:val="left" w:pos="993"/>
          <w:tab w:val="left" w:pos="1134"/>
        </w:tabs>
        <w:ind w:left="928" w:hanging="360"/>
        <w:jc w:val="both"/>
        <w:rPr>
          <w:rFonts w:asciiTheme="minorHAnsi" w:hAnsiTheme="minorHAnsi"/>
          <w:b/>
          <w:color w:val="auto"/>
          <w:sz w:val="20"/>
          <w:szCs w:val="20"/>
        </w:rPr>
      </w:pPr>
    </w:p>
    <w:p w14:paraId="77B2188D" w14:textId="77777777" w:rsidR="009C65BB" w:rsidRPr="009C65BB" w:rsidRDefault="009C65BB" w:rsidP="009C65BB">
      <w:pPr>
        <w:pStyle w:val="a3"/>
        <w:numPr>
          <w:ilvl w:val="0"/>
          <w:numId w:val="8"/>
        </w:numPr>
        <w:tabs>
          <w:tab w:val="left" w:pos="993"/>
          <w:tab w:val="left" w:pos="1134"/>
        </w:tabs>
        <w:ind w:left="928" w:hanging="360"/>
        <w:jc w:val="both"/>
        <w:rPr>
          <w:rFonts w:asciiTheme="minorHAnsi" w:hAnsiTheme="minorHAnsi"/>
          <w:b/>
          <w:color w:val="auto"/>
          <w:sz w:val="20"/>
          <w:szCs w:val="20"/>
        </w:rPr>
      </w:pPr>
      <w:r w:rsidRPr="009C65BB">
        <w:rPr>
          <w:rFonts w:asciiTheme="minorHAnsi" w:hAnsiTheme="minorHAnsi"/>
          <w:b/>
          <w:color w:val="auto"/>
          <w:sz w:val="20"/>
          <w:szCs w:val="20"/>
        </w:rPr>
        <w:t xml:space="preserve">ПРОВЕДЕННЯ ВНУТРІШНЬОГО ФІНАНСОВОГО МОНІТОРИНГУ </w:t>
      </w:r>
    </w:p>
    <w:p w14:paraId="0664DC20" w14:textId="77777777" w:rsidR="009C65BB" w:rsidRPr="000C6480" w:rsidRDefault="009C65BB" w:rsidP="00017457">
      <w:pPr>
        <w:numPr>
          <w:ilvl w:val="1"/>
          <w:numId w:val="8"/>
        </w:numPr>
        <w:tabs>
          <w:tab w:val="left" w:pos="993"/>
          <w:tab w:val="left" w:pos="1134"/>
        </w:tabs>
        <w:ind w:left="928" w:hanging="360"/>
        <w:jc w:val="both"/>
        <w:rPr>
          <w:rFonts w:asciiTheme="minorHAnsi" w:hAnsiTheme="minorHAnsi"/>
          <w:color w:val="auto"/>
          <w:sz w:val="20"/>
          <w:szCs w:val="20"/>
        </w:rPr>
      </w:pPr>
      <w:r w:rsidRPr="009C65BB">
        <w:rPr>
          <w:rFonts w:asciiTheme="minorHAnsi" w:hAnsiTheme="minorHAnsi"/>
          <w:color w:val="auto"/>
          <w:sz w:val="20"/>
          <w:szCs w:val="20"/>
        </w:rPr>
        <w:t>Товариство при здійсненні діяльності з надання фінансових кредитів забезпечує отримання вимог чинного законодавства, яке регулює відносини у сфері запобігання та протидії легалізації (відмиванню) доходів, одержаних злочинним шляхом, або фінансуванню тероризму</w:t>
      </w:r>
      <w:r w:rsidR="00017457" w:rsidRPr="000C6480">
        <w:rPr>
          <w:rFonts w:asciiTheme="minorHAnsi" w:eastAsiaTheme="minorHAnsi" w:hAnsiTheme="minorHAnsi" w:cstheme="minorBidi"/>
          <w:bCs/>
          <w:color w:val="000000" w:themeColor="text1"/>
          <w:sz w:val="20"/>
          <w:szCs w:val="20"/>
          <w:lang w:eastAsia="en-US"/>
        </w:rPr>
        <w:t xml:space="preserve"> </w:t>
      </w:r>
      <w:r w:rsidR="00017457" w:rsidRPr="000C6480">
        <w:rPr>
          <w:rFonts w:asciiTheme="minorHAnsi" w:hAnsiTheme="minorHAnsi"/>
          <w:bCs/>
          <w:color w:val="auto"/>
          <w:sz w:val="20"/>
          <w:szCs w:val="20"/>
        </w:rPr>
        <w:t>та фінансуванню розповсюдження зброї масового знищення</w:t>
      </w:r>
      <w:r w:rsidR="00017457" w:rsidRPr="000C6480">
        <w:rPr>
          <w:rFonts w:asciiTheme="minorHAnsi" w:hAnsiTheme="minorHAnsi"/>
          <w:color w:val="auto"/>
          <w:sz w:val="20"/>
          <w:szCs w:val="20"/>
        </w:rPr>
        <w:t>.</w:t>
      </w:r>
    </w:p>
    <w:p w14:paraId="665D77B0" w14:textId="77777777" w:rsidR="009C65BB" w:rsidRPr="000C6480" w:rsidRDefault="009C65BB" w:rsidP="00017457">
      <w:pPr>
        <w:numPr>
          <w:ilvl w:val="1"/>
          <w:numId w:val="8"/>
        </w:numPr>
        <w:tabs>
          <w:tab w:val="left" w:pos="993"/>
          <w:tab w:val="left" w:pos="1134"/>
        </w:tabs>
        <w:ind w:left="928" w:hanging="360"/>
        <w:jc w:val="both"/>
        <w:rPr>
          <w:rFonts w:asciiTheme="minorHAnsi" w:hAnsiTheme="minorHAnsi"/>
          <w:color w:val="auto"/>
          <w:sz w:val="20"/>
          <w:szCs w:val="20"/>
        </w:rPr>
      </w:pPr>
      <w:r w:rsidRPr="009C65BB">
        <w:rPr>
          <w:rFonts w:asciiTheme="minorHAnsi" w:hAnsiTheme="minorHAnsi"/>
          <w:color w:val="auto"/>
          <w:sz w:val="20"/>
          <w:szCs w:val="20"/>
        </w:rPr>
        <w:t xml:space="preserve">Система внутрішнього фінансового моніторингу Товариства, порядок та умови </w:t>
      </w:r>
      <w:r w:rsidR="00017457">
        <w:rPr>
          <w:rFonts w:asciiTheme="minorHAnsi" w:hAnsiTheme="minorHAnsi"/>
          <w:color w:val="auto"/>
          <w:sz w:val="20"/>
          <w:szCs w:val="20"/>
        </w:rPr>
        <w:t>п</w:t>
      </w:r>
      <w:r w:rsidRPr="009C65BB">
        <w:rPr>
          <w:rFonts w:asciiTheme="minorHAnsi" w:hAnsiTheme="minorHAnsi"/>
          <w:color w:val="auto"/>
          <w:sz w:val="20"/>
          <w:szCs w:val="20"/>
        </w:rPr>
        <w:t>роведення заходів для запобігання використання Товариства з метою легалізації доходів, одержаних злочинним шляхом, або фінансування тероризму</w:t>
      </w:r>
      <w:r w:rsidR="00017457" w:rsidRPr="000C6480">
        <w:rPr>
          <w:rFonts w:asciiTheme="minorHAnsi" w:eastAsiaTheme="minorHAnsi" w:hAnsiTheme="minorHAnsi" w:cstheme="minorBidi"/>
          <w:bCs/>
          <w:color w:val="000000" w:themeColor="text1"/>
          <w:sz w:val="20"/>
          <w:szCs w:val="20"/>
          <w:lang w:eastAsia="en-US"/>
        </w:rPr>
        <w:t xml:space="preserve"> </w:t>
      </w:r>
      <w:r w:rsidR="00017457" w:rsidRPr="000C6480">
        <w:rPr>
          <w:rFonts w:asciiTheme="minorHAnsi" w:hAnsiTheme="minorHAnsi"/>
          <w:bCs/>
          <w:color w:val="auto"/>
          <w:sz w:val="20"/>
          <w:szCs w:val="20"/>
        </w:rPr>
        <w:t>та фінансуванню розповсюдження зброї масового знищення</w:t>
      </w:r>
      <w:r w:rsidRPr="00017457">
        <w:rPr>
          <w:rFonts w:asciiTheme="minorHAnsi" w:hAnsiTheme="minorHAnsi"/>
          <w:color w:val="auto"/>
          <w:sz w:val="20"/>
          <w:szCs w:val="20"/>
        </w:rPr>
        <w:t>, визначаються правилами проведення внутрішнього фінансового моніторингу, які затверджуються Загальними зборами учасників Товариства.</w:t>
      </w:r>
    </w:p>
    <w:p w14:paraId="2AC58064" w14:textId="77777777" w:rsidR="009C65BB" w:rsidRPr="009C65BB" w:rsidRDefault="009C65BB" w:rsidP="009C65BB">
      <w:pPr>
        <w:numPr>
          <w:ilvl w:val="1"/>
          <w:numId w:val="8"/>
        </w:numPr>
        <w:tabs>
          <w:tab w:val="left" w:pos="993"/>
          <w:tab w:val="left" w:pos="1134"/>
        </w:tabs>
        <w:ind w:left="928" w:hanging="360"/>
        <w:jc w:val="both"/>
        <w:rPr>
          <w:rStyle w:val="FontStyle86"/>
          <w:rFonts w:asciiTheme="minorHAnsi" w:hAnsiTheme="minorHAnsi" w:cs="Times New Roman"/>
          <w:b w:val="0"/>
          <w:bCs w:val="0"/>
          <w:color w:val="auto"/>
          <w:sz w:val="20"/>
          <w:szCs w:val="20"/>
        </w:rPr>
      </w:pPr>
      <w:r w:rsidRPr="009C65BB">
        <w:rPr>
          <w:rFonts w:asciiTheme="minorHAnsi" w:hAnsiTheme="minorHAnsi"/>
          <w:color w:val="auto"/>
          <w:sz w:val="20"/>
          <w:szCs w:val="20"/>
        </w:rPr>
        <w:t xml:space="preserve">У Товаристві призначається працівник, відповідальний </w:t>
      </w:r>
      <w:r w:rsidRPr="009C65BB">
        <w:rPr>
          <w:rStyle w:val="FontStyle86"/>
          <w:rFonts w:asciiTheme="minorHAnsi" w:hAnsiTheme="minorHAnsi" w:cs="Times New Roman"/>
          <w:b w:val="0"/>
          <w:color w:val="auto"/>
          <w:sz w:val="20"/>
          <w:szCs w:val="20"/>
        </w:rPr>
        <w:t xml:space="preserve">за проведення внутрішнього фінансового моніторингу, </w:t>
      </w:r>
      <w:r w:rsidRPr="009C65BB">
        <w:rPr>
          <w:rFonts w:asciiTheme="minorHAnsi" w:hAnsiTheme="minorHAnsi"/>
          <w:color w:val="auto"/>
          <w:sz w:val="20"/>
          <w:szCs w:val="20"/>
          <w:shd w:val="clear" w:color="auto" w:fill="FFFFFF"/>
        </w:rPr>
        <w:t>який очолює та координує внутрішню систему запобігання та протидії легалізації (відмиванню) доходів, одержаних злочинним шляхом, або фінансуванню тероризму</w:t>
      </w:r>
      <w:r w:rsidR="00017457">
        <w:rPr>
          <w:rFonts w:asciiTheme="minorHAnsi" w:hAnsiTheme="minorHAnsi"/>
          <w:color w:val="auto"/>
          <w:sz w:val="20"/>
          <w:szCs w:val="20"/>
          <w:shd w:val="clear" w:color="auto" w:fill="FFFFFF"/>
        </w:rPr>
        <w:t xml:space="preserve"> та</w:t>
      </w:r>
      <w:r w:rsidR="00017457" w:rsidRPr="000C6480">
        <w:rPr>
          <w:rFonts w:asciiTheme="minorHAnsi" w:hAnsiTheme="minorHAnsi"/>
          <w:bCs/>
          <w:color w:val="auto"/>
          <w:sz w:val="20"/>
          <w:szCs w:val="20"/>
        </w:rPr>
        <w:t xml:space="preserve"> фінансуванню розповсюдження зброї масового знищення</w:t>
      </w:r>
      <w:r w:rsidRPr="009C65BB">
        <w:rPr>
          <w:rFonts w:asciiTheme="minorHAnsi" w:hAnsiTheme="minorHAnsi"/>
          <w:color w:val="auto"/>
          <w:sz w:val="20"/>
          <w:szCs w:val="20"/>
          <w:shd w:val="clear" w:color="auto" w:fill="FFFFFF"/>
        </w:rPr>
        <w:t xml:space="preserve">. Відповідальний працівник призначається </w:t>
      </w:r>
      <w:r w:rsidRPr="009C65BB">
        <w:rPr>
          <w:rStyle w:val="FontStyle86"/>
          <w:rFonts w:asciiTheme="minorHAnsi" w:hAnsiTheme="minorHAnsi" w:cs="Times New Roman"/>
          <w:b w:val="0"/>
          <w:color w:val="auto"/>
          <w:sz w:val="20"/>
          <w:szCs w:val="20"/>
        </w:rPr>
        <w:t xml:space="preserve">на рівні керівництва Товариства наказом </w:t>
      </w:r>
      <w:r w:rsidRPr="009C65BB">
        <w:rPr>
          <w:rFonts w:asciiTheme="minorHAnsi" w:hAnsiTheme="minorHAnsi"/>
          <w:color w:val="auto"/>
          <w:sz w:val="20"/>
          <w:szCs w:val="20"/>
        </w:rPr>
        <w:t>директора</w:t>
      </w:r>
      <w:r w:rsidRPr="009C65BB">
        <w:rPr>
          <w:rStyle w:val="FontStyle86"/>
          <w:rFonts w:asciiTheme="minorHAnsi" w:hAnsiTheme="minorHAnsi" w:cs="Times New Roman"/>
          <w:b w:val="0"/>
          <w:color w:val="auto"/>
          <w:sz w:val="20"/>
          <w:szCs w:val="20"/>
        </w:rPr>
        <w:t>. Відповідальним за проведення внутрішнього фінансового моніторингу може бути призначено директора Товариства.</w:t>
      </w:r>
    </w:p>
    <w:p w14:paraId="75DB53EB" w14:textId="77777777" w:rsidR="009C65BB" w:rsidRPr="009C65BB" w:rsidRDefault="009C65BB" w:rsidP="009C65BB">
      <w:pPr>
        <w:numPr>
          <w:ilvl w:val="1"/>
          <w:numId w:val="8"/>
        </w:numPr>
        <w:tabs>
          <w:tab w:val="left" w:pos="993"/>
          <w:tab w:val="left" w:pos="1134"/>
        </w:tabs>
        <w:ind w:left="928" w:hanging="360"/>
        <w:jc w:val="both"/>
        <w:rPr>
          <w:rStyle w:val="FontStyle86"/>
          <w:rFonts w:asciiTheme="minorHAnsi" w:hAnsiTheme="minorHAnsi" w:cs="Times New Roman"/>
          <w:b w:val="0"/>
          <w:bCs w:val="0"/>
          <w:color w:val="auto"/>
          <w:sz w:val="20"/>
          <w:szCs w:val="20"/>
        </w:rPr>
      </w:pPr>
      <w:r w:rsidRPr="009C65BB">
        <w:rPr>
          <w:rStyle w:val="FontStyle86"/>
          <w:rFonts w:asciiTheme="minorHAnsi" w:hAnsiTheme="minorHAnsi" w:cs="Times New Roman"/>
          <w:b w:val="0"/>
          <w:color w:val="auto"/>
          <w:sz w:val="20"/>
          <w:szCs w:val="20"/>
        </w:rPr>
        <w:t xml:space="preserve">Працівник Товариства, відповідальний за проведення внутрішнього фінансового моніторингу, здійснює передбачені законодавством процедури щодо фінансового моніторингу по виявленню фінансових операцій, які підлягають фінансовому моніторингу та інших фінансових операцій, що можуть бути пов’язані з легалізацією (відмиванням) доходів, отриманих незаконним шляхом чи спрямованих на фінансування </w:t>
      </w:r>
      <w:r w:rsidRPr="009C65BB">
        <w:rPr>
          <w:rStyle w:val="FontStyle86"/>
          <w:rFonts w:asciiTheme="minorHAnsi" w:hAnsiTheme="minorHAnsi" w:cs="Times New Roman"/>
          <w:b w:val="0"/>
          <w:color w:val="auto"/>
          <w:sz w:val="20"/>
          <w:szCs w:val="20"/>
        </w:rPr>
        <w:lastRenderedPageBreak/>
        <w:t>тероризму</w:t>
      </w:r>
      <w:r w:rsidR="00017457" w:rsidRPr="00017457">
        <w:rPr>
          <w:rFonts w:asciiTheme="minorHAnsi" w:hAnsiTheme="minorHAnsi"/>
          <w:color w:val="auto"/>
          <w:sz w:val="20"/>
          <w:szCs w:val="20"/>
          <w:shd w:val="clear" w:color="auto" w:fill="FFFFFF"/>
        </w:rPr>
        <w:t xml:space="preserve"> </w:t>
      </w:r>
      <w:r w:rsidR="00017457">
        <w:rPr>
          <w:rFonts w:asciiTheme="minorHAnsi" w:hAnsiTheme="minorHAnsi"/>
          <w:color w:val="auto"/>
          <w:sz w:val="20"/>
          <w:szCs w:val="20"/>
          <w:shd w:val="clear" w:color="auto" w:fill="FFFFFF"/>
        </w:rPr>
        <w:t>та</w:t>
      </w:r>
      <w:r w:rsidR="00017457" w:rsidRPr="000C6480">
        <w:rPr>
          <w:rFonts w:asciiTheme="minorHAnsi" w:hAnsiTheme="minorHAnsi"/>
          <w:bCs/>
          <w:color w:val="auto"/>
          <w:sz w:val="20"/>
          <w:szCs w:val="20"/>
        </w:rPr>
        <w:t xml:space="preserve"> фінансуванню розповсюдження зброї масового знищення</w:t>
      </w:r>
      <w:r w:rsidRPr="009C65BB">
        <w:rPr>
          <w:rStyle w:val="FontStyle86"/>
          <w:rFonts w:asciiTheme="minorHAnsi" w:hAnsiTheme="minorHAnsi" w:cs="Times New Roman"/>
          <w:b w:val="0"/>
          <w:color w:val="auto"/>
          <w:sz w:val="20"/>
          <w:szCs w:val="20"/>
        </w:rPr>
        <w:t xml:space="preserve">, проводить перевірки діяльності працівників Товариства щодо дотримання ними правил внутрішнього фінансового моніторингу, повідомляє визначені законодавством органи </w:t>
      </w:r>
      <w:r w:rsidRPr="009C65BB">
        <w:rPr>
          <w:rFonts w:asciiTheme="minorHAnsi" w:hAnsiTheme="minorHAnsi"/>
          <w:color w:val="auto"/>
          <w:sz w:val="20"/>
          <w:szCs w:val="20"/>
        </w:rPr>
        <w:t>про фінансові операції, щодо яких є мотивовані підозри, що вони пов'язані з легалізацією (відмиванням) доходів, одержаних злочинним шляхом</w:t>
      </w:r>
      <w:r w:rsidR="00017457" w:rsidRPr="00017457">
        <w:rPr>
          <w:rFonts w:asciiTheme="minorHAnsi" w:hAnsiTheme="minorHAnsi"/>
          <w:color w:val="auto"/>
          <w:sz w:val="20"/>
          <w:szCs w:val="20"/>
          <w:shd w:val="clear" w:color="auto" w:fill="FFFFFF"/>
        </w:rPr>
        <w:t xml:space="preserve"> </w:t>
      </w:r>
      <w:r w:rsidR="00017457">
        <w:rPr>
          <w:rFonts w:asciiTheme="minorHAnsi" w:hAnsiTheme="minorHAnsi"/>
          <w:color w:val="auto"/>
          <w:sz w:val="20"/>
          <w:szCs w:val="20"/>
          <w:shd w:val="clear" w:color="auto" w:fill="FFFFFF"/>
        </w:rPr>
        <w:t>та</w:t>
      </w:r>
      <w:r w:rsidR="00017457" w:rsidRPr="000C6480">
        <w:rPr>
          <w:rFonts w:asciiTheme="minorHAnsi" w:hAnsiTheme="minorHAnsi"/>
          <w:bCs/>
          <w:color w:val="auto"/>
          <w:sz w:val="20"/>
          <w:szCs w:val="20"/>
        </w:rPr>
        <w:t xml:space="preserve"> фінансуванню розповсюдження зброї масового знищення</w:t>
      </w:r>
      <w:r w:rsidRPr="009C65BB">
        <w:rPr>
          <w:rFonts w:asciiTheme="minorHAnsi" w:hAnsiTheme="minorHAnsi"/>
          <w:color w:val="auto"/>
          <w:sz w:val="20"/>
          <w:szCs w:val="20"/>
        </w:rPr>
        <w:t>, або якщо вони пов'язані, стосуються чи призначені для фінансування тероризму, а також виконує інші обов’язки, визначені законодавством та правилами проведення внутрішнього фінансового моніторингу Товариства</w:t>
      </w:r>
      <w:r w:rsidRPr="009C65BB">
        <w:rPr>
          <w:rStyle w:val="FontStyle86"/>
          <w:rFonts w:asciiTheme="minorHAnsi" w:hAnsiTheme="minorHAnsi" w:cs="Times New Roman"/>
          <w:b w:val="0"/>
          <w:color w:val="auto"/>
          <w:sz w:val="20"/>
          <w:szCs w:val="20"/>
        </w:rPr>
        <w:t>.</w:t>
      </w:r>
    </w:p>
    <w:p w14:paraId="7A2F452B" w14:textId="77777777" w:rsidR="00E9400B" w:rsidRPr="009C65BB" w:rsidRDefault="00E9400B" w:rsidP="009C65BB">
      <w:pPr>
        <w:pStyle w:val="a3"/>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p>
    <w:p w14:paraId="027D8AEB" w14:textId="77777777" w:rsidR="009C65BB" w:rsidRPr="009C65BB" w:rsidRDefault="009C65BB" w:rsidP="009C65BB">
      <w:pPr>
        <w:pStyle w:val="a3"/>
        <w:tabs>
          <w:tab w:val="left" w:pos="709"/>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hanging="360"/>
        <w:jc w:val="both"/>
        <w:rPr>
          <w:rFonts w:asciiTheme="minorHAnsi" w:hAnsiTheme="minorHAnsi" w:cs="Times New Roman"/>
          <w:color w:val="auto"/>
          <w:sz w:val="20"/>
          <w:szCs w:val="20"/>
        </w:rPr>
      </w:pPr>
    </w:p>
    <w:p w14:paraId="25471C6F" w14:textId="77777777" w:rsidR="00E9400B" w:rsidRPr="009C65BB" w:rsidRDefault="00E9400B" w:rsidP="009C65BB">
      <w:pPr>
        <w:pStyle w:val="a3"/>
        <w:numPr>
          <w:ilvl w:val="0"/>
          <w:numId w:val="8"/>
        </w:numPr>
        <w:tabs>
          <w:tab w:val="left" w:pos="993"/>
          <w:tab w:val="left" w:pos="1134"/>
        </w:tabs>
        <w:ind w:left="928" w:hanging="360"/>
        <w:jc w:val="both"/>
        <w:rPr>
          <w:rFonts w:asciiTheme="minorHAnsi" w:hAnsiTheme="minorHAnsi"/>
          <w:b/>
          <w:color w:val="auto"/>
          <w:sz w:val="20"/>
          <w:szCs w:val="20"/>
        </w:rPr>
      </w:pPr>
      <w:r w:rsidRPr="009C65BB">
        <w:rPr>
          <w:rFonts w:asciiTheme="minorHAnsi" w:hAnsiTheme="minorHAnsi"/>
          <w:b/>
          <w:color w:val="auto"/>
          <w:sz w:val="20"/>
          <w:szCs w:val="20"/>
        </w:rPr>
        <w:t>ОПИС ЗАВДАНЬ, ЯКІ ПІДЛЯГАЮТЬ ВИКОНАННЮ КОЖНИМ ПІДРОЗДІЛОМ ФІНАНСОВОЇ УСТАНОВИ</w:t>
      </w:r>
    </w:p>
    <w:p w14:paraId="341A979C" w14:textId="77777777" w:rsidR="00E9400B" w:rsidRDefault="00E9400B" w:rsidP="005E44F6">
      <w:pPr>
        <w:pStyle w:val="a6"/>
        <w:tabs>
          <w:tab w:val="left" w:pos="993"/>
          <w:tab w:val="left" w:pos="1134"/>
        </w:tabs>
        <w:spacing w:before="0" w:beforeAutospacing="0" w:after="0" w:afterAutospacing="0"/>
        <w:ind w:left="928" w:hanging="360"/>
        <w:rPr>
          <w:rFonts w:asciiTheme="minorHAnsi" w:hAnsiTheme="minorHAnsi"/>
          <w:sz w:val="20"/>
          <w:szCs w:val="20"/>
        </w:rPr>
      </w:pPr>
      <w:r w:rsidRPr="009C65BB">
        <w:rPr>
          <w:rFonts w:asciiTheme="minorHAnsi" w:hAnsiTheme="minorHAnsi"/>
          <w:sz w:val="20"/>
          <w:szCs w:val="20"/>
          <w:lang w:val="uk-UA"/>
        </w:rPr>
        <w:t xml:space="preserve"> Товариство має право здійснювати діяльність через свої відокремлені підрозділи та за умови виконання таких вимог:</w:t>
      </w:r>
      <w:r w:rsidRPr="009C65BB">
        <w:rPr>
          <w:rFonts w:asciiTheme="minorHAnsi" w:hAnsiTheme="minorHAnsi"/>
          <w:sz w:val="20"/>
          <w:szCs w:val="20"/>
          <w:lang w:val="uk-UA"/>
        </w:rPr>
        <w:br/>
        <w:t>1) інформація про такі відокремлені підрозділи має бути внесена до Реєстру;</w:t>
      </w:r>
      <w:r w:rsidRPr="009C65BB">
        <w:rPr>
          <w:rFonts w:asciiTheme="minorHAnsi" w:hAnsiTheme="minorHAnsi"/>
          <w:sz w:val="20"/>
          <w:szCs w:val="20"/>
          <w:lang w:val="uk-UA"/>
        </w:rPr>
        <w:br/>
        <w:t>2) повноваження щодо провадження діяльності  мають бути передбачені в положеннях про відокремлені підрозділи Товариства;</w:t>
      </w:r>
      <w:r w:rsidRPr="009C65BB">
        <w:rPr>
          <w:rFonts w:asciiTheme="minorHAnsi" w:hAnsiTheme="minorHAnsi"/>
          <w:sz w:val="20"/>
          <w:szCs w:val="20"/>
          <w:lang w:val="uk-UA"/>
        </w:rPr>
        <w:br/>
        <w:t xml:space="preserve">3) дотримання відокремленими підрозділами умов, передбачених для надання фінансової послуги </w:t>
      </w:r>
      <w:r w:rsidRPr="009C65BB">
        <w:rPr>
          <w:rFonts w:asciiTheme="minorHAnsi" w:hAnsiTheme="minorHAnsi"/>
          <w:bCs/>
          <w:sz w:val="20"/>
          <w:szCs w:val="20"/>
          <w:lang w:val="uk-UA"/>
        </w:rPr>
        <w:t>поручительств та гарантій</w:t>
      </w:r>
      <w:r w:rsidRPr="009C65BB">
        <w:rPr>
          <w:rFonts w:asciiTheme="minorHAnsi" w:hAnsiTheme="minorHAnsi"/>
          <w:sz w:val="20"/>
          <w:szCs w:val="20"/>
          <w:lang w:val="uk-UA"/>
        </w:rPr>
        <w:t>.</w:t>
      </w:r>
      <w:r w:rsidRPr="009C65BB">
        <w:rPr>
          <w:rFonts w:asciiTheme="minorHAnsi" w:hAnsiTheme="minorHAnsi"/>
          <w:sz w:val="20"/>
          <w:szCs w:val="20"/>
          <w:lang w:val="uk-UA"/>
        </w:rPr>
        <w:br/>
        <w:t xml:space="preserve"> </w:t>
      </w:r>
      <w:r w:rsidRPr="009C65BB">
        <w:rPr>
          <w:rFonts w:asciiTheme="minorHAnsi" w:hAnsiTheme="minorHAnsi"/>
          <w:sz w:val="20"/>
          <w:szCs w:val="20"/>
        </w:rPr>
        <w:t xml:space="preserve">Основними завданнями, які підлягають виконанню відокремленими підрозділами Товариства, є: </w:t>
      </w:r>
      <w:r w:rsidRPr="009C65BB">
        <w:rPr>
          <w:rFonts w:asciiTheme="minorHAnsi" w:hAnsiTheme="minorHAnsi"/>
          <w:sz w:val="20"/>
          <w:szCs w:val="20"/>
        </w:rPr>
        <w:br/>
      </w:r>
      <w:r w:rsidRPr="009C65BB">
        <w:rPr>
          <w:rFonts w:asciiTheme="minorHAnsi" w:hAnsiTheme="minorHAnsi"/>
          <w:sz w:val="20"/>
          <w:szCs w:val="20"/>
          <w:lang w:val="uk-UA"/>
        </w:rPr>
        <w:t>1)</w:t>
      </w:r>
      <w:r w:rsidRPr="009C65BB">
        <w:rPr>
          <w:rFonts w:asciiTheme="minorHAnsi" w:hAnsiTheme="minorHAnsi"/>
          <w:sz w:val="20"/>
          <w:szCs w:val="20"/>
        </w:rPr>
        <w:t xml:space="preserve"> укладення </w:t>
      </w:r>
      <w:r w:rsidRPr="009C65BB">
        <w:rPr>
          <w:rFonts w:asciiTheme="minorHAnsi" w:hAnsiTheme="minorHAnsi"/>
          <w:sz w:val="20"/>
          <w:szCs w:val="20"/>
          <w:lang w:val="uk-UA"/>
        </w:rPr>
        <w:t>д</w:t>
      </w:r>
      <w:r w:rsidRPr="009C65BB">
        <w:rPr>
          <w:rFonts w:asciiTheme="minorHAnsi" w:hAnsiTheme="minorHAnsi"/>
          <w:sz w:val="20"/>
          <w:szCs w:val="20"/>
        </w:rPr>
        <w:t>оговорів</w:t>
      </w:r>
      <w:r w:rsidRPr="009C65BB">
        <w:rPr>
          <w:rFonts w:asciiTheme="minorHAnsi" w:hAnsiTheme="minorHAnsi"/>
          <w:sz w:val="20"/>
          <w:szCs w:val="20"/>
          <w:lang w:val="uk-UA"/>
        </w:rPr>
        <w:t xml:space="preserve"> про надання послуги </w:t>
      </w:r>
      <w:r w:rsidRPr="009C65BB">
        <w:rPr>
          <w:rFonts w:asciiTheme="minorHAnsi" w:hAnsiTheme="minorHAnsi"/>
          <w:bCs/>
          <w:sz w:val="20"/>
          <w:szCs w:val="20"/>
        </w:rPr>
        <w:t>поручительств та гарантій</w:t>
      </w:r>
      <w:r w:rsidRPr="009C65BB">
        <w:rPr>
          <w:rFonts w:asciiTheme="minorHAnsi" w:hAnsiTheme="minorHAnsi"/>
          <w:sz w:val="20"/>
          <w:szCs w:val="20"/>
        </w:rPr>
        <w:t>;</w:t>
      </w:r>
      <w:r w:rsidRPr="009C65BB">
        <w:rPr>
          <w:rFonts w:asciiTheme="minorHAnsi" w:hAnsiTheme="minorHAnsi"/>
          <w:sz w:val="20"/>
          <w:szCs w:val="20"/>
        </w:rPr>
        <w:br/>
        <w:t>2</w:t>
      </w:r>
      <w:r w:rsidRPr="009C65BB">
        <w:rPr>
          <w:rFonts w:asciiTheme="minorHAnsi" w:hAnsiTheme="minorHAnsi"/>
          <w:sz w:val="20"/>
          <w:szCs w:val="20"/>
          <w:lang w:val="uk-UA"/>
        </w:rPr>
        <w:t>)</w:t>
      </w:r>
      <w:r w:rsidRPr="009C65BB">
        <w:rPr>
          <w:rFonts w:asciiTheme="minorHAnsi" w:hAnsiTheme="minorHAnsi"/>
          <w:sz w:val="20"/>
          <w:szCs w:val="20"/>
        </w:rPr>
        <w:t xml:space="preserve"> ознайомлення </w:t>
      </w:r>
      <w:r w:rsidRPr="009C65BB">
        <w:rPr>
          <w:rFonts w:asciiTheme="minorHAnsi" w:hAnsiTheme="minorHAnsi"/>
          <w:sz w:val="20"/>
          <w:szCs w:val="20"/>
          <w:lang w:val="uk-UA"/>
        </w:rPr>
        <w:t xml:space="preserve">клієнта </w:t>
      </w:r>
      <w:r w:rsidRPr="009C65BB">
        <w:rPr>
          <w:rFonts w:asciiTheme="minorHAnsi" w:hAnsiTheme="minorHAnsi"/>
          <w:sz w:val="20"/>
          <w:szCs w:val="20"/>
        </w:rPr>
        <w:t xml:space="preserve">з цими Правилами, умовами Договору про надання </w:t>
      </w:r>
      <w:r w:rsidRPr="009C65BB">
        <w:rPr>
          <w:rFonts w:asciiTheme="minorHAnsi" w:hAnsiTheme="minorHAnsi"/>
          <w:sz w:val="20"/>
          <w:szCs w:val="20"/>
          <w:lang w:val="uk-UA"/>
        </w:rPr>
        <w:t xml:space="preserve"> </w:t>
      </w:r>
      <w:r w:rsidRPr="009C65BB">
        <w:rPr>
          <w:rFonts w:asciiTheme="minorHAnsi" w:hAnsiTheme="minorHAnsi"/>
          <w:sz w:val="20"/>
          <w:szCs w:val="20"/>
        </w:rPr>
        <w:t xml:space="preserve">фінансової </w:t>
      </w:r>
      <w:r w:rsidRPr="009C65BB">
        <w:rPr>
          <w:rFonts w:asciiTheme="minorHAnsi" w:hAnsiTheme="minorHAnsi"/>
          <w:sz w:val="20"/>
          <w:szCs w:val="20"/>
          <w:lang w:val="uk-UA"/>
        </w:rPr>
        <w:t xml:space="preserve">послуги з </w:t>
      </w:r>
      <w:r w:rsidRPr="009C65BB">
        <w:rPr>
          <w:rFonts w:asciiTheme="minorHAnsi" w:hAnsiTheme="minorHAnsi"/>
          <w:bCs/>
          <w:sz w:val="20"/>
          <w:szCs w:val="20"/>
        </w:rPr>
        <w:t>поручительств та гарантій</w:t>
      </w:r>
      <w:r w:rsidRPr="009C65BB">
        <w:rPr>
          <w:rFonts w:asciiTheme="minorHAnsi" w:hAnsiTheme="minorHAnsi"/>
          <w:sz w:val="20"/>
          <w:szCs w:val="20"/>
        </w:rPr>
        <w:t>;</w:t>
      </w:r>
      <w:r w:rsidRPr="009C65BB">
        <w:rPr>
          <w:rFonts w:asciiTheme="minorHAnsi" w:hAnsiTheme="minorHAnsi"/>
          <w:sz w:val="20"/>
          <w:szCs w:val="20"/>
        </w:rPr>
        <w:br/>
      </w:r>
      <w:r w:rsidRPr="009C65BB">
        <w:rPr>
          <w:rFonts w:asciiTheme="minorHAnsi" w:hAnsiTheme="minorHAnsi"/>
          <w:sz w:val="20"/>
          <w:szCs w:val="20"/>
          <w:lang w:val="uk-UA"/>
        </w:rPr>
        <w:t>3)</w:t>
      </w:r>
      <w:r w:rsidRPr="009C65BB">
        <w:rPr>
          <w:rFonts w:asciiTheme="minorHAnsi" w:hAnsiTheme="minorHAnsi"/>
          <w:sz w:val="20"/>
          <w:szCs w:val="20"/>
        </w:rPr>
        <w:t xml:space="preserve"> ведення відокремленими підрозділами реєстрів, а та</w:t>
      </w:r>
      <w:r w:rsidRPr="009C65BB">
        <w:rPr>
          <w:rFonts w:asciiTheme="minorHAnsi" w:hAnsiTheme="minorHAnsi"/>
          <w:sz w:val="20"/>
          <w:szCs w:val="20"/>
          <w:lang w:val="uk-UA"/>
        </w:rPr>
        <w:t xml:space="preserve">кож журналу </w:t>
      </w:r>
      <w:r w:rsidRPr="009C65BB">
        <w:rPr>
          <w:rFonts w:asciiTheme="minorHAnsi" w:hAnsiTheme="minorHAnsi"/>
          <w:sz w:val="20"/>
          <w:szCs w:val="20"/>
        </w:rPr>
        <w:t xml:space="preserve">обліку </w:t>
      </w:r>
      <w:r w:rsidRPr="009C65BB">
        <w:rPr>
          <w:rFonts w:asciiTheme="minorHAnsi" w:hAnsiTheme="minorHAnsi"/>
          <w:sz w:val="20"/>
          <w:szCs w:val="20"/>
          <w:lang w:val="uk-UA"/>
        </w:rPr>
        <w:t>укладених та виконаних договорів</w:t>
      </w:r>
      <w:r w:rsidRPr="009C65BB">
        <w:rPr>
          <w:rFonts w:asciiTheme="minorHAnsi" w:hAnsiTheme="minorHAnsi"/>
          <w:sz w:val="20"/>
          <w:szCs w:val="20"/>
        </w:rPr>
        <w:t>;</w:t>
      </w:r>
      <w:r w:rsidRPr="009C65BB">
        <w:rPr>
          <w:rFonts w:asciiTheme="minorHAnsi" w:hAnsiTheme="minorHAnsi"/>
          <w:sz w:val="20"/>
          <w:szCs w:val="20"/>
        </w:rPr>
        <w:br/>
      </w:r>
      <w:r w:rsidRPr="009C65BB">
        <w:rPr>
          <w:rFonts w:asciiTheme="minorHAnsi" w:hAnsiTheme="minorHAnsi"/>
          <w:sz w:val="20"/>
          <w:szCs w:val="20"/>
          <w:lang w:val="uk-UA"/>
        </w:rPr>
        <w:t xml:space="preserve">4) закриття  договору про надання фінансової послуги </w:t>
      </w:r>
      <w:r w:rsidRPr="009C65BB">
        <w:rPr>
          <w:rFonts w:asciiTheme="minorHAnsi" w:hAnsiTheme="minorHAnsi"/>
          <w:bCs/>
          <w:sz w:val="20"/>
          <w:szCs w:val="20"/>
        </w:rPr>
        <w:t>поручительств та гарантій</w:t>
      </w:r>
      <w:r w:rsidRPr="009C65BB">
        <w:rPr>
          <w:rFonts w:asciiTheme="minorHAnsi" w:hAnsiTheme="minorHAnsi"/>
          <w:sz w:val="20"/>
          <w:szCs w:val="20"/>
        </w:rPr>
        <w:t>.</w:t>
      </w:r>
    </w:p>
    <w:p w14:paraId="7B36F883" w14:textId="77777777" w:rsidR="00017457" w:rsidRDefault="00017457" w:rsidP="009C65BB">
      <w:pPr>
        <w:pStyle w:val="a6"/>
        <w:tabs>
          <w:tab w:val="left" w:pos="993"/>
          <w:tab w:val="left" w:pos="1134"/>
        </w:tabs>
        <w:spacing w:before="0" w:beforeAutospacing="0" w:after="0" w:afterAutospacing="0"/>
        <w:ind w:left="928" w:hanging="360"/>
        <w:jc w:val="both"/>
        <w:rPr>
          <w:rFonts w:asciiTheme="minorHAnsi" w:hAnsiTheme="minorHAnsi"/>
          <w:sz w:val="20"/>
          <w:szCs w:val="20"/>
        </w:rPr>
      </w:pPr>
    </w:p>
    <w:p w14:paraId="06E8A651" w14:textId="77777777" w:rsidR="00017457" w:rsidRDefault="00017457" w:rsidP="009C65BB">
      <w:pPr>
        <w:pStyle w:val="a6"/>
        <w:tabs>
          <w:tab w:val="left" w:pos="993"/>
          <w:tab w:val="left" w:pos="1134"/>
        </w:tabs>
        <w:spacing w:before="0" w:beforeAutospacing="0" w:after="0" w:afterAutospacing="0"/>
        <w:ind w:left="928" w:hanging="360"/>
        <w:jc w:val="both"/>
        <w:rPr>
          <w:rFonts w:asciiTheme="minorHAnsi" w:hAnsiTheme="minorHAnsi"/>
          <w:sz w:val="20"/>
          <w:szCs w:val="20"/>
        </w:rPr>
      </w:pPr>
    </w:p>
    <w:tbl>
      <w:tblPr>
        <w:tblStyle w:val="a7"/>
        <w:tblW w:w="0" w:type="auto"/>
        <w:tblLook w:val="04A0" w:firstRow="1" w:lastRow="0" w:firstColumn="1" w:lastColumn="0" w:noHBand="0" w:noVBand="1"/>
      </w:tblPr>
      <w:tblGrid>
        <w:gridCol w:w="4927"/>
        <w:gridCol w:w="4928"/>
      </w:tblGrid>
      <w:tr w:rsidR="000D3FAE" w:rsidRPr="00F951BE" w14:paraId="6C63A6E2" w14:textId="77777777" w:rsidTr="00622F7F">
        <w:tc>
          <w:tcPr>
            <w:tcW w:w="4927" w:type="dxa"/>
            <w:tcBorders>
              <w:top w:val="nil"/>
              <w:left w:val="nil"/>
              <w:bottom w:val="nil"/>
              <w:right w:val="nil"/>
            </w:tcBorders>
          </w:tcPr>
          <w:p w14:paraId="4F84DF65" w14:textId="77777777" w:rsidR="000D3FAE" w:rsidRPr="00F951BE" w:rsidRDefault="000D3FAE" w:rsidP="000D3FAE">
            <w:pPr>
              <w:spacing w:after="200"/>
              <w:jc w:val="both"/>
              <w:rPr>
                <w:rFonts w:cs="Times New Roman"/>
                <w:b/>
                <w:sz w:val="20"/>
                <w:szCs w:val="20"/>
              </w:rPr>
            </w:pPr>
          </w:p>
          <w:p w14:paraId="377B1290" w14:textId="77777777" w:rsidR="000D3FAE" w:rsidRPr="00F951BE" w:rsidRDefault="000D3FAE" w:rsidP="00622F7F">
            <w:pPr>
              <w:spacing w:after="200"/>
              <w:ind w:firstLine="708"/>
              <w:jc w:val="both"/>
              <w:rPr>
                <w:rFonts w:cs="Times New Roman"/>
                <w:b/>
                <w:sz w:val="20"/>
                <w:szCs w:val="20"/>
              </w:rPr>
            </w:pPr>
            <w:r w:rsidRPr="00F951BE">
              <w:rPr>
                <w:rFonts w:cs="Times New Roman"/>
                <w:b/>
                <w:sz w:val="20"/>
                <w:szCs w:val="20"/>
              </w:rPr>
              <w:t>Директор</w:t>
            </w:r>
          </w:p>
        </w:tc>
        <w:tc>
          <w:tcPr>
            <w:tcW w:w="4928" w:type="dxa"/>
            <w:tcBorders>
              <w:top w:val="nil"/>
              <w:left w:val="nil"/>
              <w:bottom w:val="nil"/>
              <w:right w:val="nil"/>
            </w:tcBorders>
          </w:tcPr>
          <w:p w14:paraId="0783F53C" w14:textId="77777777" w:rsidR="000D3FAE" w:rsidRPr="00F951BE" w:rsidRDefault="000D3FAE" w:rsidP="00622F7F">
            <w:pPr>
              <w:spacing w:after="200"/>
              <w:ind w:firstLine="708"/>
              <w:jc w:val="both"/>
              <w:rPr>
                <w:rFonts w:cs="Times New Roman"/>
                <w:sz w:val="20"/>
                <w:szCs w:val="20"/>
              </w:rPr>
            </w:pPr>
          </w:p>
        </w:tc>
      </w:tr>
      <w:tr w:rsidR="000D3FAE" w:rsidRPr="000655E6" w14:paraId="233FF7B1" w14:textId="77777777" w:rsidTr="00622F7F">
        <w:tc>
          <w:tcPr>
            <w:tcW w:w="4927" w:type="dxa"/>
            <w:tcBorders>
              <w:top w:val="nil"/>
              <w:left w:val="nil"/>
              <w:bottom w:val="nil"/>
              <w:right w:val="nil"/>
            </w:tcBorders>
          </w:tcPr>
          <w:p w14:paraId="46060CC2" w14:textId="0E947B59" w:rsidR="000D3FAE" w:rsidRPr="00F951BE" w:rsidRDefault="00A52B0E" w:rsidP="00BC7983">
            <w:pPr>
              <w:spacing w:after="200"/>
              <w:ind w:firstLine="708"/>
              <w:jc w:val="both"/>
              <w:rPr>
                <w:rFonts w:cs="Times New Roman"/>
                <w:b/>
                <w:sz w:val="20"/>
                <w:szCs w:val="20"/>
              </w:rPr>
            </w:pPr>
            <w:r>
              <w:rPr>
                <w:rFonts w:cs="Times New Roman"/>
                <w:b/>
                <w:sz w:val="20"/>
                <w:szCs w:val="20"/>
                <w:lang w:val="ru-RU"/>
              </w:rPr>
              <w:t>ТОВ</w:t>
            </w:r>
            <w:r w:rsidR="00BC7983">
              <w:rPr>
                <w:rFonts w:cs="Times New Roman"/>
                <w:b/>
                <w:sz w:val="20"/>
                <w:szCs w:val="20"/>
                <w:lang w:val="ru-RU"/>
              </w:rPr>
              <w:t xml:space="preserve"> «</w:t>
            </w:r>
            <w:r w:rsidR="00BC7983" w:rsidRPr="00BC7983">
              <w:rPr>
                <w:rFonts w:cs="Times New Roman"/>
                <w:b/>
                <w:sz w:val="20"/>
                <w:szCs w:val="20"/>
                <w:lang w:val="ru-RU"/>
              </w:rPr>
              <w:t>ПАРИТЕТ ФІНАНС</w:t>
            </w:r>
            <w:r w:rsidR="00BE1B19">
              <w:rPr>
                <w:rFonts w:cs="Times New Roman"/>
                <w:b/>
                <w:sz w:val="20"/>
                <w:szCs w:val="20"/>
                <w:lang w:val="ru-RU"/>
              </w:rPr>
              <w:t>»</w:t>
            </w:r>
            <w:r w:rsidR="00851398">
              <w:rPr>
                <w:rFonts w:cs="Times New Roman"/>
                <w:b/>
                <w:sz w:val="20"/>
                <w:szCs w:val="20"/>
                <w:lang w:val="ru-RU"/>
              </w:rPr>
              <w:t xml:space="preserve"> </w:t>
            </w:r>
          </w:p>
        </w:tc>
        <w:tc>
          <w:tcPr>
            <w:tcW w:w="4928" w:type="dxa"/>
            <w:tcBorders>
              <w:top w:val="nil"/>
              <w:left w:val="nil"/>
              <w:bottom w:val="nil"/>
              <w:right w:val="nil"/>
            </w:tcBorders>
          </w:tcPr>
          <w:p w14:paraId="7124549A" w14:textId="2ADB8686" w:rsidR="000D3FAE" w:rsidRPr="00F951BE" w:rsidRDefault="00851398" w:rsidP="00622F7F">
            <w:pPr>
              <w:spacing w:after="200"/>
              <w:jc w:val="both"/>
              <w:rPr>
                <w:rFonts w:cs="Times New Roman"/>
                <w:b/>
                <w:sz w:val="20"/>
                <w:szCs w:val="20"/>
              </w:rPr>
            </w:pPr>
            <w:r>
              <w:rPr>
                <w:rFonts w:cs="Times New Roman"/>
                <w:b/>
                <w:sz w:val="20"/>
                <w:szCs w:val="20"/>
              </w:rPr>
              <w:t xml:space="preserve">   </w:t>
            </w:r>
            <w:r w:rsidR="00BC7983">
              <w:rPr>
                <w:rFonts w:cs="Times New Roman"/>
                <w:b/>
                <w:sz w:val="20"/>
                <w:szCs w:val="20"/>
              </w:rPr>
              <w:t>Косар Б.М</w:t>
            </w:r>
            <w:r w:rsidR="000D3FAE" w:rsidRPr="00F951BE">
              <w:rPr>
                <w:rFonts w:cs="Times New Roman"/>
                <w:b/>
                <w:sz w:val="20"/>
                <w:szCs w:val="20"/>
              </w:rPr>
              <w:t>._________________________</w:t>
            </w:r>
          </w:p>
          <w:p w14:paraId="19CE87E4" w14:textId="77777777" w:rsidR="000D3FAE" w:rsidRPr="000655E6" w:rsidRDefault="000D3FAE" w:rsidP="00622F7F">
            <w:pPr>
              <w:spacing w:after="200"/>
              <w:ind w:firstLine="708"/>
              <w:jc w:val="both"/>
              <w:rPr>
                <w:rFonts w:cs="Times New Roman"/>
                <w:sz w:val="13"/>
                <w:szCs w:val="13"/>
              </w:rPr>
            </w:pPr>
            <w:r w:rsidRPr="00F951BE">
              <w:rPr>
                <w:rFonts w:cs="Times New Roman"/>
                <w:b/>
                <w:sz w:val="20"/>
                <w:szCs w:val="20"/>
              </w:rPr>
              <w:t xml:space="preserve">                                </w:t>
            </w:r>
            <w:r w:rsidRPr="000655E6">
              <w:rPr>
                <w:rFonts w:cs="Times New Roman"/>
                <w:sz w:val="13"/>
                <w:szCs w:val="13"/>
              </w:rPr>
              <w:t xml:space="preserve">підпис, печатка </w:t>
            </w:r>
          </w:p>
        </w:tc>
      </w:tr>
    </w:tbl>
    <w:p w14:paraId="15F3C938" w14:textId="77777777" w:rsidR="00863261" w:rsidRPr="00E9400B" w:rsidRDefault="00863261">
      <w:pPr>
        <w:rPr>
          <w:rFonts w:asciiTheme="minorHAnsi" w:hAnsiTheme="minorHAnsi"/>
          <w:sz w:val="20"/>
          <w:szCs w:val="20"/>
          <w:lang w:val="ru-RU"/>
        </w:rPr>
      </w:pPr>
    </w:p>
    <w:sectPr w:rsidR="00863261" w:rsidRPr="00E9400B" w:rsidSect="002F1E4F">
      <w:headerReference w:type="even" r:id="rId7"/>
      <w:headerReference w:type="default" r:id="rId8"/>
      <w:footerReference w:type="even" r:id="rId9"/>
      <w:footerReference w:type="default" r:id="rId10"/>
      <w:headerReference w:type="first" r:id="rId11"/>
      <w:footerReference w:type="first" r:id="rId12"/>
      <w:pgSz w:w="11906" w:h="16838"/>
      <w:pgMar w:top="426" w:right="707" w:bottom="426" w:left="993"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49A8A" w14:textId="77777777" w:rsidR="00F7064C" w:rsidRDefault="00F7064C" w:rsidP="00754F56">
      <w:r>
        <w:separator/>
      </w:r>
    </w:p>
  </w:endnote>
  <w:endnote w:type="continuationSeparator" w:id="0">
    <w:p w14:paraId="1C2A926B" w14:textId="77777777" w:rsidR="00F7064C" w:rsidRDefault="00F7064C" w:rsidP="0075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675D" w14:textId="77777777" w:rsidR="00754F56" w:rsidRDefault="00754F5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FB7E" w14:textId="77777777" w:rsidR="00754F56" w:rsidRDefault="00754F5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85A4" w14:textId="77777777" w:rsidR="00754F56" w:rsidRDefault="00754F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56007" w14:textId="77777777" w:rsidR="00F7064C" w:rsidRDefault="00F7064C" w:rsidP="00754F56">
      <w:r>
        <w:separator/>
      </w:r>
    </w:p>
  </w:footnote>
  <w:footnote w:type="continuationSeparator" w:id="0">
    <w:p w14:paraId="669C3B7C" w14:textId="77777777" w:rsidR="00F7064C" w:rsidRDefault="00F7064C" w:rsidP="0075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B9C6" w14:textId="77777777" w:rsidR="00754F56" w:rsidRDefault="00754F5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E92F" w14:textId="77777777" w:rsidR="00754F56" w:rsidRDefault="00754F5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526E" w14:textId="77777777" w:rsidR="00754F56" w:rsidRDefault="00754F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25B"/>
    <w:multiLevelType w:val="hybridMultilevel"/>
    <w:tmpl w:val="7F7416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2CE3CC4"/>
    <w:multiLevelType w:val="hybridMultilevel"/>
    <w:tmpl w:val="C21A0F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39E6AB7"/>
    <w:multiLevelType w:val="multilevel"/>
    <w:tmpl w:val="87AEBB6A"/>
    <w:lvl w:ilvl="0">
      <w:start w:val="9"/>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AE05D3F"/>
    <w:multiLevelType w:val="multilevel"/>
    <w:tmpl w:val="FC5E5B1E"/>
    <w:lvl w:ilvl="0">
      <w:start w:val="10"/>
      <w:numFmt w:val="decimal"/>
      <w:lvlText w:val="%1."/>
      <w:lvlJc w:val="left"/>
      <w:pPr>
        <w:tabs>
          <w:tab w:val="num" w:pos="435"/>
        </w:tabs>
        <w:ind w:left="435" w:hanging="435"/>
      </w:pPr>
    </w:lvl>
    <w:lvl w:ilvl="1">
      <w:start w:val="4"/>
      <w:numFmt w:val="decimal"/>
      <w:lvlText w:val="%1.%2."/>
      <w:lvlJc w:val="left"/>
      <w:pPr>
        <w:tabs>
          <w:tab w:val="num" w:pos="1035"/>
        </w:tabs>
        <w:ind w:left="1035" w:hanging="435"/>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4" w15:restartNumberingAfterBreak="0">
    <w:nsid w:val="0E42220F"/>
    <w:multiLevelType w:val="multilevel"/>
    <w:tmpl w:val="844603E4"/>
    <w:lvl w:ilvl="0">
      <w:start w:val="10"/>
      <w:numFmt w:val="decimal"/>
      <w:lvlText w:val="%1."/>
      <w:lvlJc w:val="left"/>
      <w:pPr>
        <w:ind w:left="405" w:hanging="405"/>
      </w:pPr>
      <w:rPr>
        <w:rFonts w:cs="Arial Unicode MS" w:hint="default"/>
        <w:color w:val="00B050"/>
      </w:rPr>
    </w:lvl>
    <w:lvl w:ilvl="1">
      <w:start w:val="2"/>
      <w:numFmt w:val="decimal"/>
      <w:lvlText w:val="%1.%2."/>
      <w:lvlJc w:val="left"/>
      <w:pPr>
        <w:ind w:left="405" w:hanging="405"/>
      </w:pPr>
      <w:rPr>
        <w:rFonts w:cs="Arial Unicode MS" w:hint="default"/>
        <w:color w:val="00B050"/>
      </w:rPr>
    </w:lvl>
    <w:lvl w:ilvl="2">
      <w:start w:val="1"/>
      <w:numFmt w:val="decimal"/>
      <w:lvlText w:val="%1.%2.%3."/>
      <w:lvlJc w:val="left"/>
      <w:pPr>
        <w:ind w:left="720" w:hanging="720"/>
      </w:pPr>
      <w:rPr>
        <w:rFonts w:cs="Arial Unicode MS" w:hint="default"/>
        <w:color w:val="00B050"/>
      </w:rPr>
    </w:lvl>
    <w:lvl w:ilvl="3">
      <w:start w:val="1"/>
      <w:numFmt w:val="decimal"/>
      <w:lvlText w:val="%1.%2.%3.%4."/>
      <w:lvlJc w:val="left"/>
      <w:pPr>
        <w:ind w:left="720" w:hanging="720"/>
      </w:pPr>
      <w:rPr>
        <w:rFonts w:cs="Arial Unicode MS" w:hint="default"/>
        <w:color w:val="00B050"/>
      </w:rPr>
    </w:lvl>
    <w:lvl w:ilvl="4">
      <w:start w:val="1"/>
      <w:numFmt w:val="decimal"/>
      <w:lvlText w:val="%1.%2.%3.%4.%5."/>
      <w:lvlJc w:val="left"/>
      <w:pPr>
        <w:ind w:left="1080" w:hanging="1080"/>
      </w:pPr>
      <w:rPr>
        <w:rFonts w:cs="Arial Unicode MS" w:hint="default"/>
        <w:color w:val="00B050"/>
      </w:rPr>
    </w:lvl>
    <w:lvl w:ilvl="5">
      <w:start w:val="1"/>
      <w:numFmt w:val="decimal"/>
      <w:lvlText w:val="%1.%2.%3.%4.%5.%6."/>
      <w:lvlJc w:val="left"/>
      <w:pPr>
        <w:ind w:left="1080" w:hanging="1080"/>
      </w:pPr>
      <w:rPr>
        <w:rFonts w:cs="Arial Unicode MS" w:hint="default"/>
        <w:color w:val="00B050"/>
      </w:rPr>
    </w:lvl>
    <w:lvl w:ilvl="6">
      <w:start w:val="1"/>
      <w:numFmt w:val="decimal"/>
      <w:lvlText w:val="%1.%2.%3.%4.%5.%6.%7."/>
      <w:lvlJc w:val="left"/>
      <w:pPr>
        <w:ind w:left="1080" w:hanging="1080"/>
      </w:pPr>
      <w:rPr>
        <w:rFonts w:cs="Arial Unicode MS" w:hint="default"/>
        <w:color w:val="00B050"/>
      </w:rPr>
    </w:lvl>
    <w:lvl w:ilvl="7">
      <w:start w:val="1"/>
      <w:numFmt w:val="decimal"/>
      <w:lvlText w:val="%1.%2.%3.%4.%5.%6.%7.%8."/>
      <w:lvlJc w:val="left"/>
      <w:pPr>
        <w:ind w:left="1440" w:hanging="1440"/>
      </w:pPr>
      <w:rPr>
        <w:rFonts w:cs="Arial Unicode MS" w:hint="default"/>
        <w:color w:val="00B050"/>
      </w:rPr>
    </w:lvl>
    <w:lvl w:ilvl="8">
      <w:start w:val="1"/>
      <w:numFmt w:val="decimal"/>
      <w:lvlText w:val="%1.%2.%3.%4.%5.%6.%7.%8.%9."/>
      <w:lvlJc w:val="left"/>
      <w:pPr>
        <w:ind w:left="1440" w:hanging="1440"/>
      </w:pPr>
      <w:rPr>
        <w:rFonts w:cs="Arial Unicode MS" w:hint="default"/>
        <w:color w:val="00B050"/>
      </w:rPr>
    </w:lvl>
  </w:abstractNum>
  <w:abstractNum w:abstractNumId="5" w15:restartNumberingAfterBreak="0">
    <w:nsid w:val="1A9A4DE8"/>
    <w:multiLevelType w:val="hybridMultilevel"/>
    <w:tmpl w:val="60F65A16"/>
    <w:lvl w:ilvl="0" w:tplc="7FC071DA">
      <w:start w:val="10"/>
      <w:numFmt w:val="decimal"/>
      <w:lvlText w:val="%1."/>
      <w:lvlJc w:val="left"/>
      <w:pPr>
        <w:ind w:left="1288" w:hanging="360"/>
      </w:pPr>
      <w:rPr>
        <w:rFonts w:hint="default"/>
      </w:rPr>
    </w:lvl>
    <w:lvl w:ilvl="1" w:tplc="0419000F">
      <w:start w:val="1"/>
      <w:numFmt w:val="decimal"/>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220270A7"/>
    <w:multiLevelType w:val="hybridMultilevel"/>
    <w:tmpl w:val="F886F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B17AB9"/>
    <w:multiLevelType w:val="multilevel"/>
    <w:tmpl w:val="B50C2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5F6502"/>
    <w:multiLevelType w:val="hybridMultilevel"/>
    <w:tmpl w:val="94E0D5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99261F"/>
    <w:multiLevelType w:val="hybridMultilevel"/>
    <w:tmpl w:val="417468F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C905923"/>
    <w:multiLevelType w:val="hybridMultilevel"/>
    <w:tmpl w:val="01706514"/>
    <w:lvl w:ilvl="0" w:tplc="04220011">
      <w:start w:val="1"/>
      <w:numFmt w:val="decimal"/>
      <w:lvlText w:val="%1)"/>
      <w:lvlJc w:val="left"/>
      <w:pPr>
        <w:ind w:left="142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15:restartNumberingAfterBreak="0">
    <w:nsid w:val="2E982FDB"/>
    <w:multiLevelType w:val="multilevel"/>
    <w:tmpl w:val="3DD8D23A"/>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F43568B"/>
    <w:multiLevelType w:val="hybridMultilevel"/>
    <w:tmpl w:val="A1EEC02A"/>
    <w:lvl w:ilvl="0" w:tplc="04220011">
      <w:start w:val="1"/>
      <w:numFmt w:val="decimal"/>
      <w:lvlText w:val="%1)"/>
      <w:lvlJc w:val="left"/>
      <w:pPr>
        <w:ind w:left="128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15:restartNumberingAfterBreak="0">
    <w:nsid w:val="3D9F4E8B"/>
    <w:multiLevelType w:val="hybridMultilevel"/>
    <w:tmpl w:val="D29E6D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F7526D3"/>
    <w:multiLevelType w:val="hybridMultilevel"/>
    <w:tmpl w:val="F8F6A506"/>
    <w:lvl w:ilvl="0" w:tplc="04220011">
      <w:start w:val="1"/>
      <w:numFmt w:val="decimal"/>
      <w:lvlText w:val="%1)"/>
      <w:lvlJc w:val="left"/>
      <w:pPr>
        <w:ind w:left="128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15:restartNumberingAfterBreak="0">
    <w:nsid w:val="431541DB"/>
    <w:multiLevelType w:val="hybridMultilevel"/>
    <w:tmpl w:val="3D28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37C2EB9"/>
    <w:multiLevelType w:val="hybridMultilevel"/>
    <w:tmpl w:val="690460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DE05570"/>
    <w:multiLevelType w:val="multilevel"/>
    <w:tmpl w:val="F7EA73A6"/>
    <w:lvl w:ilvl="0">
      <w:start w:val="1"/>
      <w:numFmt w:val="decimal"/>
      <w:lvlText w:val="%1."/>
      <w:lvlJc w:val="left"/>
      <w:pPr>
        <w:ind w:left="928" w:hanging="360"/>
      </w:pPr>
    </w:lvl>
    <w:lvl w:ilvl="1">
      <w:start w:val="1"/>
      <w:numFmt w:val="decimal"/>
      <w:isLgl/>
      <w:lvlText w:val="%1.%2."/>
      <w:lvlJc w:val="left"/>
      <w:pPr>
        <w:ind w:left="988" w:hanging="420"/>
      </w:pPr>
      <w:rPr>
        <w:b w:val="0"/>
      </w:rPr>
    </w:lvl>
    <w:lvl w:ilvl="2">
      <w:start w:val="1"/>
      <w:numFmt w:val="decimal"/>
      <w:isLgl/>
      <w:lvlText w:val="%1.%2.%3."/>
      <w:lvlJc w:val="left"/>
      <w:pPr>
        <w:ind w:left="1680" w:hanging="720"/>
      </w:pPr>
    </w:lvl>
    <w:lvl w:ilvl="3">
      <w:start w:val="1"/>
      <w:numFmt w:val="decimal"/>
      <w:isLgl/>
      <w:lvlText w:val="%1.%2.%3.%4."/>
      <w:lvlJc w:val="left"/>
      <w:pPr>
        <w:ind w:left="143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54DD784B"/>
    <w:multiLevelType w:val="hybridMultilevel"/>
    <w:tmpl w:val="53B812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72A2DA7"/>
    <w:multiLevelType w:val="multilevel"/>
    <w:tmpl w:val="21FAD8DE"/>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C987A37"/>
    <w:multiLevelType w:val="hybridMultilevel"/>
    <w:tmpl w:val="C8EA55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EB644A8"/>
    <w:multiLevelType w:val="hybridMultilevel"/>
    <w:tmpl w:val="2306E6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5F8A6CB9"/>
    <w:multiLevelType w:val="hybridMultilevel"/>
    <w:tmpl w:val="AC62D8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65820604"/>
    <w:multiLevelType w:val="hybridMultilevel"/>
    <w:tmpl w:val="24BEC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85D791E"/>
    <w:multiLevelType w:val="hybridMultilevel"/>
    <w:tmpl w:val="7A20B6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69123242"/>
    <w:multiLevelType w:val="hybridMultilevel"/>
    <w:tmpl w:val="B24463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6A4C2220"/>
    <w:multiLevelType w:val="hybridMultilevel"/>
    <w:tmpl w:val="DA0EFF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6B5C6B0F"/>
    <w:multiLevelType w:val="multilevel"/>
    <w:tmpl w:val="484CDAC0"/>
    <w:lvl w:ilvl="0">
      <w:start w:val="11"/>
      <w:numFmt w:val="decimal"/>
      <w:lvlText w:val="%1."/>
      <w:lvlJc w:val="left"/>
      <w:pPr>
        <w:ind w:left="480" w:hanging="480"/>
      </w:pPr>
      <w:rPr>
        <w:color w:val="000000"/>
      </w:rPr>
    </w:lvl>
    <w:lvl w:ilvl="1">
      <w:start w:val="1"/>
      <w:numFmt w:val="decimal"/>
      <w:lvlText w:val="%1.%2."/>
      <w:lvlJc w:val="left"/>
      <w:pPr>
        <w:ind w:left="1200" w:hanging="720"/>
      </w:pPr>
      <w:rPr>
        <w:color w:val="000000"/>
      </w:rPr>
    </w:lvl>
    <w:lvl w:ilvl="2">
      <w:start w:val="1"/>
      <w:numFmt w:val="decimal"/>
      <w:lvlText w:val="%1.%2.%3."/>
      <w:lvlJc w:val="left"/>
      <w:pPr>
        <w:ind w:left="1680" w:hanging="720"/>
      </w:pPr>
      <w:rPr>
        <w:color w:val="000000"/>
      </w:rPr>
    </w:lvl>
    <w:lvl w:ilvl="3">
      <w:start w:val="1"/>
      <w:numFmt w:val="decimal"/>
      <w:lvlText w:val="%1.%2.%3.%4."/>
      <w:lvlJc w:val="left"/>
      <w:pPr>
        <w:ind w:left="2520" w:hanging="1080"/>
      </w:pPr>
      <w:rPr>
        <w:color w:val="000000"/>
      </w:rPr>
    </w:lvl>
    <w:lvl w:ilvl="4">
      <w:start w:val="1"/>
      <w:numFmt w:val="decimal"/>
      <w:lvlText w:val="%1.%2.%3.%4.%5."/>
      <w:lvlJc w:val="left"/>
      <w:pPr>
        <w:ind w:left="3000" w:hanging="1080"/>
      </w:pPr>
      <w:rPr>
        <w:color w:val="000000"/>
      </w:rPr>
    </w:lvl>
    <w:lvl w:ilvl="5">
      <w:start w:val="1"/>
      <w:numFmt w:val="decimal"/>
      <w:lvlText w:val="%1.%2.%3.%4.%5.%6."/>
      <w:lvlJc w:val="left"/>
      <w:pPr>
        <w:ind w:left="3840" w:hanging="1440"/>
      </w:pPr>
      <w:rPr>
        <w:color w:val="000000"/>
      </w:rPr>
    </w:lvl>
    <w:lvl w:ilvl="6">
      <w:start w:val="1"/>
      <w:numFmt w:val="decimal"/>
      <w:lvlText w:val="%1.%2.%3.%4.%5.%6.%7."/>
      <w:lvlJc w:val="left"/>
      <w:pPr>
        <w:ind w:left="4320" w:hanging="1440"/>
      </w:pPr>
      <w:rPr>
        <w:color w:val="000000"/>
      </w:rPr>
    </w:lvl>
    <w:lvl w:ilvl="7">
      <w:start w:val="1"/>
      <w:numFmt w:val="decimal"/>
      <w:lvlText w:val="%1.%2.%3.%4.%5.%6.%7.%8."/>
      <w:lvlJc w:val="left"/>
      <w:pPr>
        <w:ind w:left="5160" w:hanging="1800"/>
      </w:pPr>
      <w:rPr>
        <w:color w:val="000000"/>
      </w:rPr>
    </w:lvl>
    <w:lvl w:ilvl="8">
      <w:start w:val="1"/>
      <w:numFmt w:val="decimal"/>
      <w:lvlText w:val="%1.%2.%3.%4.%5.%6.%7.%8.%9."/>
      <w:lvlJc w:val="left"/>
      <w:pPr>
        <w:ind w:left="5640" w:hanging="1800"/>
      </w:pPr>
      <w:rPr>
        <w:color w:val="000000"/>
      </w:rPr>
    </w:lvl>
  </w:abstractNum>
  <w:abstractNum w:abstractNumId="28" w15:restartNumberingAfterBreak="0">
    <w:nsid w:val="71274605"/>
    <w:multiLevelType w:val="hybridMultilevel"/>
    <w:tmpl w:val="D62C09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7B234FFF"/>
    <w:multiLevelType w:val="hybridMultilevel"/>
    <w:tmpl w:val="7F1267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E183291"/>
    <w:multiLevelType w:val="hybridMultilevel"/>
    <w:tmpl w:val="5426912E"/>
    <w:lvl w:ilvl="0" w:tplc="04220011">
      <w:start w:val="1"/>
      <w:numFmt w:val="decimal"/>
      <w:lvlText w:val="%1)"/>
      <w:lvlJc w:val="left"/>
      <w:pPr>
        <w:ind w:left="142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8"/>
  </w:num>
  <w:num w:numId="11">
    <w:abstractNumId w:val="0"/>
  </w:num>
  <w:num w:numId="12">
    <w:abstractNumId w:val="26"/>
  </w:num>
  <w:num w:numId="13">
    <w:abstractNumId w:val="21"/>
  </w:num>
  <w:num w:numId="14">
    <w:abstractNumId w:val="22"/>
  </w:num>
  <w:num w:numId="15">
    <w:abstractNumId w:val="20"/>
  </w:num>
  <w:num w:numId="16">
    <w:abstractNumId w:val="29"/>
  </w:num>
  <w:num w:numId="17">
    <w:abstractNumId w:val="6"/>
  </w:num>
  <w:num w:numId="18">
    <w:abstractNumId w:val="13"/>
  </w:num>
  <w:num w:numId="19">
    <w:abstractNumId w:val="25"/>
  </w:num>
  <w:num w:numId="20">
    <w:abstractNumId w:val="1"/>
  </w:num>
  <w:num w:numId="21">
    <w:abstractNumId w:val="16"/>
  </w:num>
  <w:num w:numId="22">
    <w:abstractNumId w:val="24"/>
  </w:num>
  <w:num w:numId="23">
    <w:abstractNumId w:val="28"/>
  </w:num>
  <w:num w:numId="24">
    <w:abstractNumId w:val="9"/>
  </w:num>
  <w:num w:numId="25">
    <w:abstractNumId w:val="23"/>
  </w:num>
  <w:num w:numId="26">
    <w:abstractNumId w:val="8"/>
  </w:num>
  <w:num w:numId="27">
    <w:abstractNumId w:val="7"/>
  </w:num>
  <w:num w:numId="28">
    <w:abstractNumId w:val="2"/>
  </w:num>
  <w:num w:numId="29">
    <w:abstractNumId w:val="5"/>
  </w:num>
  <w:num w:numId="30">
    <w:abstractNumId w:val="11"/>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400B"/>
    <w:rsid w:val="00017457"/>
    <w:rsid w:val="000C6480"/>
    <w:rsid w:val="000D3FAE"/>
    <w:rsid w:val="00214F83"/>
    <w:rsid w:val="00273610"/>
    <w:rsid w:val="004005AC"/>
    <w:rsid w:val="0059415A"/>
    <w:rsid w:val="005E44F6"/>
    <w:rsid w:val="00754F56"/>
    <w:rsid w:val="007B4CB5"/>
    <w:rsid w:val="00851398"/>
    <w:rsid w:val="00863261"/>
    <w:rsid w:val="009B2092"/>
    <w:rsid w:val="009C65BB"/>
    <w:rsid w:val="00A52B0E"/>
    <w:rsid w:val="00B4230A"/>
    <w:rsid w:val="00BC7983"/>
    <w:rsid w:val="00BE1B19"/>
    <w:rsid w:val="00CF4A3B"/>
    <w:rsid w:val="00D17EE0"/>
    <w:rsid w:val="00E9400B"/>
    <w:rsid w:val="00F7064C"/>
    <w:rsid w:val="00FB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2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00B"/>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9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1"/>
      <w:szCs w:val="21"/>
      <w:lang w:val="ru-RU" w:eastAsia="ru-RU"/>
    </w:rPr>
  </w:style>
  <w:style w:type="character" w:customStyle="1" w:styleId="HTML0">
    <w:name w:val="Стандартный HTML Знак"/>
    <w:basedOn w:val="a0"/>
    <w:link w:val="HTML"/>
    <w:semiHidden/>
    <w:rsid w:val="00E9400B"/>
    <w:rPr>
      <w:rFonts w:ascii="Courier New" w:eastAsia="Times New Roman" w:hAnsi="Courier New" w:cs="Courier New"/>
      <w:color w:val="000000"/>
      <w:sz w:val="21"/>
      <w:szCs w:val="21"/>
      <w:lang w:val="ru-RU" w:eastAsia="ru-RU"/>
    </w:rPr>
  </w:style>
  <w:style w:type="paragraph" w:styleId="2">
    <w:name w:val="Body Text 2"/>
    <w:basedOn w:val="a"/>
    <w:link w:val="20"/>
    <w:semiHidden/>
    <w:unhideWhenUsed/>
    <w:rsid w:val="00E9400B"/>
    <w:pPr>
      <w:spacing w:after="120" w:line="480" w:lineRule="auto"/>
    </w:pPr>
    <w:rPr>
      <w:rFonts w:ascii="Times New Roman" w:eastAsia="Times New Roman" w:hAnsi="Times New Roman" w:cs="Times New Roman"/>
      <w:color w:val="auto"/>
      <w:lang w:val="ru-RU" w:eastAsia="ru-RU"/>
    </w:rPr>
  </w:style>
  <w:style w:type="character" w:customStyle="1" w:styleId="20">
    <w:name w:val="Основной текст 2 Знак"/>
    <w:basedOn w:val="a0"/>
    <w:link w:val="2"/>
    <w:semiHidden/>
    <w:rsid w:val="00E9400B"/>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E9400B"/>
    <w:pPr>
      <w:ind w:left="720"/>
      <w:contextualSpacing/>
    </w:pPr>
  </w:style>
  <w:style w:type="character" w:customStyle="1" w:styleId="21">
    <w:name w:val="Основний текст (2)_"/>
    <w:link w:val="210"/>
    <w:locked/>
    <w:rsid w:val="00E9400B"/>
    <w:rPr>
      <w:rFonts w:ascii="Book Antiqua" w:hAnsi="Book Antiqua"/>
      <w:b/>
      <w:bCs/>
      <w:i/>
      <w:iCs/>
      <w:sz w:val="26"/>
      <w:szCs w:val="26"/>
      <w:shd w:val="clear" w:color="auto" w:fill="FFFFFF"/>
    </w:rPr>
  </w:style>
  <w:style w:type="paragraph" w:customStyle="1" w:styleId="210">
    <w:name w:val="Основний текст (2)1"/>
    <w:basedOn w:val="a"/>
    <w:link w:val="21"/>
    <w:rsid w:val="00E9400B"/>
    <w:pPr>
      <w:shd w:val="clear" w:color="auto" w:fill="FFFFFF"/>
      <w:spacing w:line="331" w:lineRule="exact"/>
    </w:pPr>
    <w:rPr>
      <w:rFonts w:ascii="Book Antiqua" w:eastAsiaTheme="minorHAnsi" w:hAnsi="Book Antiqua" w:cstheme="minorBidi"/>
      <w:b/>
      <w:bCs/>
      <w:i/>
      <w:iCs/>
      <w:color w:val="auto"/>
      <w:sz w:val="26"/>
      <w:szCs w:val="26"/>
      <w:lang w:eastAsia="en-US"/>
    </w:rPr>
  </w:style>
  <w:style w:type="character" w:customStyle="1" w:styleId="a4">
    <w:name w:val="Основний текст_"/>
    <w:link w:val="1"/>
    <w:locked/>
    <w:rsid w:val="00E9400B"/>
    <w:rPr>
      <w:rFonts w:ascii="Book Antiqua" w:hAnsi="Book Antiqua"/>
      <w:b/>
      <w:bCs/>
      <w:sz w:val="21"/>
      <w:szCs w:val="21"/>
      <w:shd w:val="clear" w:color="auto" w:fill="FFFFFF"/>
    </w:rPr>
  </w:style>
  <w:style w:type="paragraph" w:customStyle="1" w:styleId="1">
    <w:name w:val="Основний текст1"/>
    <w:basedOn w:val="a"/>
    <w:link w:val="a4"/>
    <w:rsid w:val="00E9400B"/>
    <w:pPr>
      <w:shd w:val="clear" w:color="auto" w:fill="FFFFFF"/>
      <w:spacing w:line="194" w:lineRule="exact"/>
      <w:ind w:hanging="2160"/>
      <w:jc w:val="both"/>
    </w:pPr>
    <w:rPr>
      <w:rFonts w:ascii="Book Antiqua" w:eastAsiaTheme="minorHAnsi" w:hAnsi="Book Antiqua" w:cstheme="minorBidi"/>
      <w:b/>
      <w:bCs/>
      <w:color w:val="auto"/>
      <w:sz w:val="21"/>
      <w:szCs w:val="21"/>
      <w:lang w:eastAsia="en-US"/>
    </w:rPr>
  </w:style>
  <w:style w:type="character" w:customStyle="1" w:styleId="20pt">
    <w:name w:val="Заголовок №2 + Інтервал 0 pt"/>
    <w:rsid w:val="00E9400B"/>
    <w:rPr>
      <w:rFonts w:ascii="Book Antiqua" w:hAnsi="Book Antiqua" w:hint="default"/>
      <w:b/>
      <w:bCs/>
      <w:spacing w:val="0"/>
      <w:sz w:val="46"/>
      <w:szCs w:val="46"/>
      <w:lang w:bidi="ar-SA"/>
    </w:rPr>
  </w:style>
  <w:style w:type="character" w:customStyle="1" w:styleId="a5">
    <w:name w:val="Основний текст + Курсив"/>
    <w:rsid w:val="00E9400B"/>
    <w:rPr>
      <w:rFonts w:ascii="Book Antiqua" w:hAnsi="Book Antiqua" w:hint="default"/>
      <w:b/>
      <w:bCs/>
      <w:i/>
      <w:iCs/>
      <w:sz w:val="21"/>
      <w:szCs w:val="21"/>
      <w:lang w:bidi="ar-SA"/>
    </w:rPr>
  </w:style>
  <w:style w:type="paragraph" w:styleId="a6">
    <w:name w:val="Normal (Web)"/>
    <w:basedOn w:val="a"/>
    <w:uiPriority w:val="99"/>
    <w:semiHidden/>
    <w:unhideWhenUsed/>
    <w:rsid w:val="00E9400B"/>
    <w:pPr>
      <w:spacing w:before="100" w:beforeAutospacing="1" w:after="100" w:afterAutospacing="1"/>
    </w:pPr>
    <w:rPr>
      <w:rFonts w:ascii="Times New Roman" w:eastAsia="Times New Roman" w:hAnsi="Times New Roman" w:cs="Times New Roman"/>
      <w:color w:val="auto"/>
      <w:lang w:val="ru-RU" w:eastAsia="ru-RU"/>
    </w:rPr>
  </w:style>
  <w:style w:type="character" w:customStyle="1" w:styleId="FontStyle86">
    <w:name w:val="Font Style86"/>
    <w:basedOn w:val="a0"/>
    <w:rsid w:val="009C65BB"/>
    <w:rPr>
      <w:rFonts w:ascii="Bookman Old Style" w:hAnsi="Bookman Old Style" w:cs="Bookman Old Style"/>
      <w:b/>
      <w:bCs/>
      <w:sz w:val="18"/>
      <w:szCs w:val="18"/>
    </w:rPr>
  </w:style>
  <w:style w:type="table" w:styleId="a7">
    <w:name w:val="Table Grid"/>
    <w:basedOn w:val="a1"/>
    <w:uiPriority w:val="59"/>
    <w:rsid w:val="0001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4F56"/>
    <w:pPr>
      <w:tabs>
        <w:tab w:val="center" w:pos="4677"/>
        <w:tab w:val="right" w:pos="9355"/>
      </w:tabs>
    </w:pPr>
  </w:style>
  <w:style w:type="character" w:customStyle="1" w:styleId="a9">
    <w:name w:val="Верхний колонтитул Знак"/>
    <w:basedOn w:val="a0"/>
    <w:link w:val="a8"/>
    <w:uiPriority w:val="99"/>
    <w:rsid w:val="00754F56"/>
    <w:rPr>
      <w:rFonts w:ascii="Arial Unicode MS" w:eastAsia="Arial Unicode MS" w:hAnsi="Arial Unicode MS" w:cs="Arial Unicode MS"/>
      <w:color w:val="000000"/>
      <w:sz w:val="24"/>
      <w:szCs w:val="24"/>
      <w:lang w:eastAsia="uk-UA"/>
    </w:rPr>
  </w:style>
  <w:style w:type="paragraph" w:styleId="aa">
    <w:name w:val="footer"/>
    <w:basedOn w:val="a"/>
    <w:link w:val="ab"/>
    <w:uiPriority w:val="99"/>
    <w:unhideWhenUsed/>
    <w:rsid w:val="00754F56"/>
    <w:pPr>
      <w:tabs>
        <w:tab w:val="center" w:pos="4677"/>
        <w:tab w:val="right" w:pos="9355"/>
      </w:tabs>
    </w:pPr>
  </w:style>
  <w:style w:type="character" w:customStyle="1" w:styleId="ab">
    <w:name w:val="Нижний колонтитул Знак"/>
    <w:basedOn w:val="a0"/>
    <w:link w:val="aa"/>
    <w:uiPriority w:val="99"/>
    <w:rsid w:val="00754F56"/>
    <w:rPr>
      <w:rFonts w:ascii="Arial Unicode MS" w:eastAsia="Arial Unicode MS" w:hAnsi="Arial Unicode MS" w:cs="Arial Unicode MS"/>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6267</Words>
  <Characters>35722</Characters>
  <Application>Microsoft Office Word</Application>
  <DocSecurity>0</DocSecurity>
  <Lines>297</Lines>
  <Paragraphs>83</Paragraphs>
  <ScaleCrop>false</ScaleCrop>
  <Company/>
  <LinksUpToDate>false</LinksUpToDate>
  <CharactersWithSpaces>41906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2017-07-16T16:41:00Z</dcterms:created>
  <dcterms:modified xsi:type="dcterms:W3CDTF">2017-07-16T16:41:00Z</dcterms:modified>
</cp:coreProperties>
</file>